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6D472" w14:textId="177320C9" w:rsidR="00E22E8B" w:rsidRPr="00FD62E2" w:rsidRDefault="005831B3" w:rsidP="00E22E8B">
      <w:pPr>
        <w:tabs>
          <w:tab w:val="left" w:pos="5670"/>
        </w:tabs>
        <w:jc w:val="right"/>
        <w:rPr>
          <w:rFonts w:asciiTheme="majorHAnsi" w:hAnsiTheme="majorHAnsi" w:cstheme="majorHAnsi"/>
        </w:rPr>
      </w:pPr>
      <w:bookmarkStart w:id="0" w:name="_GoBack"/>
      <w:bookmarkEnd w:id="0"/>
      <w:r>
        <w:tab/>
      </w:r>
      <w:r w:rsidRPr="00FD62E2">
        <w:rPr>
          <w:rFonts w:asciiTheme="majorHAnsi" w:hAnsiTheme="majorHAnsi" w:cstheme="majorHAnsi"/>
        </w:rPr>
        <w:t>Ärende 2</w:t>
      </w:r>
    </w:p>
    <w:p w14:paraId="2D40E9F7" w14:textId="45CCC043" w:rsidR="00E22E8B" w:rsidRPr="00FD62E2" w:rsidRDefault="00E22E8B" w:rsidP="00E22E8B">
      <w:pPr>
        <w:tabs>
          <w:tab w:val="left" w:pos="5670"/>
        </w:tabs>
        <w:jc w:val="right"/>
        <w:rPr>
          <w:rFonts w:asciiTheme="majorHAnsi" w:hAnsiTheme="majorHAnsi" w:cstheme="majorHAnsi"/>
          <w:b/>
        </w:rPr>
      </w:pPr>
      <w:r w:rsidRPr="00FD62E2">
        <w:rPr>
          <w:rFonts w:asciiTheme="majorHAnsi" w:hAnsiTheme="majorHAnsi" w:cstheme="majorHAnsi"/>
          <w:b/>
        </w:rPr>
        <w:t>Verksamhetsplan och budget 2019</w:t>
      </w:r>
    </w:p>
    <w:p w14:paraId="2E5C6653" w14:textId="77777777" w:rsidR="00E22E8B" w:rsidRPr="000F3378" w:rsidRDefault="00E22E8B" w:rsidP="00E22E8B">
      <w:pPr>
        <w:tabs>
          <w:tab w:val="left" w:pos="5670"/>
        </w:tabs>
        <w:rPr>
          <w:rFonts w:ascii="Verdana" w:hAnsi="Verdana"/>
          <w:b/>
        </w:rPr>
      </w:pPr>
    </w:p>
    <w:p w14:paraId="29CE3D78" w14:textId="77777777" w:rsidR="00E22E8B" w:rsidRPr="00FD62E2" w:rsidRDefault="00E22E8B" w:rsidP="005831B3">
      <w:pPr>
        <w:tabs>
          <w:tab w:val="left" w:pos="5670"/>
        </w:tabs>
        <w:jc w:val="right"/>
        <w:rPr>
          <w:rFonts w:asciiTheme="majorHAnsi" w:hAnsiTheme="majorHAnsi" w:cstheme="majorHAnsi"/>
        </w:rPr>
      </w:pPr>
      <w:r w:rsidRPr="000F3378">
        <w:rPr>
          <w:rFonts w:ascii="Verdana" w:hAnsi="Verdana"/>
          <w:b/>
        </w:rPr>
        <w:tab/>
      </w:r>
      <w:r w:rsidR="005831B3" w:rsidRPr="00FD62E2">
        <w:rPr>
          <w:rFonts w:asciiTheme="majorHAnsi" w:hAnsiTheme="majorHAnsi" w:cstheme="majorHAnsi"/>
        </w:rPr>
        <w:t xml:space="preserve">Farsta </w:t>
      </w:r>
      <w:r w:rsidRPr="00FD62E2">
        <w:rPr>
          <w:rFonts w:asciiTheme="majorHAnsi" w:hAnsiTheme="majorHAnsi" w:cstheme="majorHAnsi"/>
        </w:rPr>
        <w:t>stadsdelsnämnd</w:t>
      </w:r>
    </w:p>
    <w:p w14:paraId="6818EAB9" w14:textId="77777777" w:rsidR="00E22E8B" w:rsidRPr="00FD62E2" w:rsidRDefault="005831B3" w:rsidP="00E22E8B">
      <w:pPr>
        <w:tabs>
          <w:tab w:val="left" w:pos="5670"/>
        </w:tabs>
        <w:jc w:val="right"/>
        <w:rPr>
          <w:rFonts w:asciiTheme="majorHAnsi" w:hAnsiTheme="majorHAnsi" w:cstheme="majorHAnsi"/>
        </w:rPr>
      </w:pPr>
      <w:r w:rsidRPr="00FD62E2">
        <w:rPr>
          <w:rFonts w:asciiTheme="majorHAnsi" w:hAnsiTheme="majorHAnsi" w:cstheme="majorHAnsi"/>
        </w:rPr>
        <w:t>Sammanträde 31</w:t>
      </w:r>
      <w:r w:rsidR="00E22E8B" w:rsidRPr="00FD62E2">
        <w:rPr>
          <w:rFonts w:asciiTheme="majorHAnsi" w:hAnsiTheme="majorHAnsi" w:cstheme="majorHAnsi"/>
        </w:rPr>
        <w:t xml:space="preserve"> januari 2019</w:t>
      </w:r>
    </w:p>
    <w:p w14:paraId="1EF1BC03" w14:textId="50852FF7" w:rsidR="00E22E8B" w:rsidRPr="00FD62E2" w:rsidRDefault="00106709" w:rsidP="00E22E8B">
      <w:pPr>
        <w:tabs>
          <w:tab w:val="left" w:pos="5670"/>
        </w:tabs>
        <w:jc w:val="right"/>
        <w:rPr>
          <w:rFonts w:asciiTheme="majorHAnsi" w:hAnsiTheme="majorHAnsi" w:cstheme="majorHAnsi"/>
        </w:rPr>
      </w:pPr>
      <w:proofErr w:type="spellStart"/>
      <w:r w:rsidRPr="00FD62E2">
        <w:rPr>
          <w:rFonts w:asciiTheme="majorHAnsi" w:hAnsiTheme="majorHAnsi" w:cstheme="majorHAnsi"/>
        </w:rPr>
        <w:t>Marre</w:t>
      </w:r>
      <w:proofErr w:type="spellEnd"/>
      <w:r w:rsidRPr="00FD62E2">
        <w:rPr>
          <w:rFonts w:asciiTheme="majorHAnsi" w:hAnsiTheme="majorHAnsi" w:cstheme="majorHAnsi"/>
        </w:rPr>
        <w:t xml:space="preserve"> </w:t>
      </w:r>
      <w:proofErr w:type="spellStart"/>
      <w:r w:rsidRPr="00FD62E2">
        <w:rPr>
          <w:rFonts w:asciiTheme="majorHAnsi" w:hAnsiTheme="majorHAnsi" w:cstheme="majorHAnsi"/>
        </w:rPr>
        <w:t>Mayr</w:t>
      </w:r>
      <w:proofErr w:type="spellEnd"/>
      <w:r w:rsidRPr="00FD62E2">
        <w:rPr>
          <w:rFonts w:asciiTheme="majorHAnsi" w:hAnsiTheme="majorHAnsi" w:cstheme="majorHAnsi"/>
        </w:rPr>
        <w:t xml:space="preserve"> m.</w:t>
      </w:r>
      <w:r w:rsidR="00E22E8B" w:rsidRPr="00FD62E2">
        <w:rPr>
          <w:rFonts w:asciiTheme="majorHAnsi" w:hAnsiTheme="majorHAnsi" w:cstheme="majorHAnsi"/>
        </w:rPr>
        <w:t>fl</w:t>
      </w:r>
      <w:r w:rsidRPr="00FD62E2">
        <w:rPr>
          <w:rFonts w:asciiTheme="majorHAnsi" w:hAnsiTheme="majorHAnsi" w:cstheme="majorHAnsi"/>
        </w:rPr>
        <w:t>.</w:t>
      </w:r>
      <w:r w:rsidR="00E22E8B" w:rsidRPr="00FD62E2">
        <w:rPr>
          <w:rFonts w:asciiTheme="majorHAnsi" w:hAnsiTheme="majorHAnsi" w:cstheme="majorHAnsi"/>
        </w:rPr>
        <w:t xml:space="preserve"> (V)</w:t>
      </w:r>
    </w:p>
    <w:p w14:paraId="0091CE3D" w14:textId="77777777" w:rsidR="001A6B88" w:rsidRDefault="001A6B88" w:rsidP="001A6B88">
      <w:pPr>
        <w:rPr>
          <w:b/>
        </w:rPr>
      </w:pPr>
    </w:p>
    <w:p w14:paraId="74A1A458" w14:textId="75496A3B" w:rsidR="001A6B88" w:rsidRDefault="001A6B88" w:rsidP="001A6B88">
      <w:pPr>
        <w:rPr>
          <w:b/>
        </w:rPr>
      </w:pPr>
    </w:p>
    <w:p w14:paraId="6B878670" w14:textId="77777777" w:rsidR="00E22E8B" w:rsidRPr="00F56A08" w:rsidRDefault="00E22E8B" w:rsidP="001A6B88">
      <w:pPr>
        <w:rPr>
          <w:rFonts w:asciiTheme="majorHAnsi" w:hAnsiTheme="majorHAnsi" w:cstheme="majorHAnsi"/>
          <w:b/>
        </w:rPr>
      </w:pPr>
      <w:r w:rsidRPr="00F56A08">
        <w:rPr>
          <w:rFonts w:asciiTheme="majorHAnsi" w:hAnsiTheme="majorHAnsi" w:cstheme="majorHAnsi"/>
          <w:b/>
        </w:rPr>
        <w:t>FÖRSLAG TILL BESLUT</w:t>
      </w:r>
    </w:p>
    <w:p w14:paraId="1778F9F4" w14:textId="77777777" w:rsidR="001A6B88" w:rsidRDefault="001A6B88" w:rsidP="001A6B88">
      <w:pPr>
        <w:rPr>
          <w:b/>
        </w:rPr>
      </w:pPr>
    </w:p>
    <w:p w14:paraId="5657A876" w14:textId="77777777" w:rsidR="00E22E8B" w:rsidRPr="000106D2" w:rsidRDefault="00E22E8B" w:rsidP="001A6B88">
      <w:r w:rsidRPr="000106D2">
        <w:t>Stadsdelsnämnden föreslås besluta:</w:t>
      </w:r>
    </w:p>
    <w:p w14:paraId="7BE6A6BB" w14:textId="77777777" w:rsidR="00E22E8B" w:rsidRPr="000F3378" w:rsidRDefault="00E22E8B" w:rsidP="00967F2B">
      <w:pPr>
        <w:numPr>
          <w:ilvl w:val="0"/>
          <w:numId w:val="14"/>
        </w:numPr>
      </w:pPr>
      <w:r w:rsidRPr="000F3378">
        <w:t>att avslå förvaltningens förslag till budget och verksamhetsplan 2019</w:t>
      </w:r>
    </w:p>
    <w:p w14:paraId="5A975B67" w14:textId="55E5706A" w:rsidR="00E22E8B" w:rsidRPr="000F3378" w:rsidRDefault="00106709" w:rsidP="00967F2B">
      <w:pPr>
        <w:numPr>
          <w:ilvl w:val="0"/>
          <w:numId w:val="14"/>
        </w:numPr>
      </w:pPr>
      <w:r>
        <w:rPr>
          <w:szCs w:val="20"/>
        </w:rPr>
        <w:t>att uppdra</w:t>
      </w:r>
      <w:r w:rsidR="00E22E8B" w:rsidRPr="00E0511E">
        <w:rPr>
          <w:szCs w:val="20"/>
        </w:rPr>
        <w:t xml:space="preserve"> </w:t>
      </w:r>
      <w:r w:rsidR="00967F2B">
        <w:rPr>
          <w:szCs w:val="20"/>
        </w:rPr>
        <w:t>till förvaltningen att återkomma till nämnden med</w:t>
      </w:r>
      <w:r>
        <w:rPr>
          <w:szCs w:val="20"/>
        </w:rPr>
        <w:t xml:space="preserve"> </w:t>
      </w:r>
      <w:r w:rsidR="00E22E8B" w:rsidRPr="00E0511E">
        <w:rPr>
          <w:szCs w:val="20"/>
        </w:rPr>
        <w:t>ett förslag till verksamhetsplan och budget utifrån Vänsterpartiets reservation i kommunfullmäktige.</w:t>
      </w:r>
    </w:p>
    <w:p w14:paraId="1719CACD" w14:textId="77777777" w:rsidR="001A6B88" w:rsidRDefault="001A6B88" w:rsidP="001A6B88"/>
    <w:p w14:paraId="6D8E92BF" w14:textId="77777777" w:rsidR="00E22E8B" w:rsidRPr="000106D2" w:rsidRDefault="00E22E8B" w:rsidP="001A6B88">
      <w:r w:rsidRPr="000106D2">
        <w:t>Stadsdelsnämnden anför därutöver följande:</w:t>
      </w:r>
    </w:p>
    <w:p w14:paraId="5385E70C" w14:textId="77777777" w:rsidR="001A6B88" w:rsidRDefault="001A6B88" w:rsidP="001A6B88"/>
    <w:p w14:paraId="59916EE1" w14:textId="17AA798D" w:rsidR="00E22E8B" w:rsidRPr="000444DC" w:rsidRDefault="00F56A08" w:rsidP="001A6B88">
      <w:pPr>
        <w:rPr>
          <w:rFonts w:asciiTheme="majorHAnsi" w:hAnsiTheme="majorHAnsi" w:cstheme="majorHAnsi"/>
          <w:b/>
        </w:rPr>
      </w:pPr>
      <w:r w:rsidRPr="000444DC">
        <w:rPr>
          <w:rFonts w:asciiTheme="majorHAnsi" w:hAnsiTheme="majorHAnsi" w:cstheme="majorHAnsi"/>
          <w:b/>
        </w:rPr>
        <w:t>Majoritetens budgetförslag</w:t>
      </w:r>
      <w:r w:rsidR="00E22E8B" w:rsidRPr="000444DC">
        <w:rPr>
          <w:rFonts w:asciiTheme="majorHAnsi" w:hAnsiTheme="majorHAnsi" w:cstheme="majorHAnsi"/>
          <w:b/>
        </w:rPr>
        <w:t xml:space="preserve"> </w:t>
      </w:r>
    </w:p>
    <w:p w14:paraId="52FDA9A0" w14:textId="77777777" w:rsidR="001A6B88" w:rsidRDefault="001A6B88" w:rsidP="001A6B88"/>
    <w:p w14:paraId="6E5E8EB3" w14:textId="77777777" w:rsidR="00B93F23" w:rsidRDefault="00E22E8B" w:rsidP="001A6B88">
      <w:r w:rsidRPr="000F3378">
        <w:t xml:space="preserve">Den nybildade blågröna majoriteten har i sin budget för Stockholms stad valt att sänka kommunalskatten med 16 öre.    </w:t>
      </w:r>
    </w:p>
    <w:p w14:paraId="528C5E9F" w14:textId="77777777" w:rsidR="00B93F23" w:rsidRDefault="00B93F23" w:rsidP="000E4B65">
      <w:pPr>
        <w:ind w:left="360"/>
      </w:pPr>
    </w:p>
    <w:p w14:paraId="2AE188F2" w14:textId="044AB5D7" w:rsidR="00E22E8B" w:rsidRDefault="001A6B88" w:rsidP="001A6B88">
      <w:r>
        <w:t>S</w:t>
      </w:r>
      <w:r w:rsidR="00E22E8B" w:rsidRPr="000F3378">
        <w:t>kattesänkningar och förväntade privatiseringar dränerar den offentli</w:t>
      </w:r>
      <w:r w:rsidR="00B93F23">
        <w:t>ga ekonomin.  Farsta Stadsdelsförvaltning</w:t>
      </w:r>
      <w:r w:rsidR="00E22E8B" w:rsidRPr="000F3378">
        <w:t xml:space="preserve"> får av </w:t>
      </w:r>
      <w:r w:rsidR="00B93F23">
        <w:t xml:space="preserve">den blågröna </w:t>
      </w:r>
      <w:r w:rsidR="00E22E8B" w:rsidRPr="000F3378">
        <w:t>majoriteten inte ens en höjning</w:t>
      </w:r>
      <w:r w:rsidR="00CF1047">
        <w:t xml:space="preserve"> som motsvarar </w:t>
      </w:r>
      <w:r w:rsidR="001434D2">
        <w:t xml:space="preserve">ökade </w:t>
      </w:r>
      <w:r w:rsidR="00540C1E">
        <w:t xml:space="preserve">löne- och </w:t>
      </w:r>
      <w:r w:rsidR="007160C3">
        <w:t>lokal</w:t>
      </w:r>
      <w:r w:rsidR="00540C1E">
        <w:t xml:space="preserve">kostnader </w:t>
      </w:r>
      <w:r w:rsidR="00C36835">
        <w:t xml:space="preserve">samt </w:t>
      </w:r>
      <w:r w:rsidR="00540C1E">
        <w:t xml:space="preserve">övriga </w:t>
      </w:r>
      <w:r w:rsidR="00E22E8B" w:rsidRPr="000F3378">
        <w:t>kostnadsökningar.</w:t>
      </w:r>
      <w:r w:rsidR="00363AB8">
        <w:t xml:space="preserve"> Av nedanstående tabell framgår skillnaden mellan den blågröna majoritetetens och Vänsterpartiets förslag till verksamhetsplan och budget för 2019.</w:t>
      </w:r>
    </w:p>
    <w:p w14:paraId="5AA56D55" w14:textId="77777777" w:rsidR="00823EF8" w:rsidRDefault="00823EF8" w:rsidP="00823EF8">
      <w:pPr>
        <w:rPr>
          <w:rFonts w:ascii="Arial" w:hAnsi="Arial" w:cs="Arial"/>
          <w:b/>
        </w:rPr>
      </w:pPr>
    </w:p>
    <w:tbl>
      <w:tblPr>
        <w:tblStyle w:val="Tabellrutnt"/>
        <w:tblW w:w="0" w:type="auto"/>
        <w:tblLook w:val="04A0" w:firstRow="1" w:lastRow="0" w:firstColumn="1" w:lastColumn="0" w:noHBand="0" w:noVBand="1"/>
      </w:tblPr>
      <w:tblGrid>
        <w:gridCol w:w="1697"/>
        <w:gridCol w:w="1086"/>
        <w:gridCol w:w="1670"/>
        <w:gridCol w:w="1190"/>
        <w:gridCol w:w="1445"/>
        <w:gridCol w:w="1283"/>
      </w:tblGrid>
      <w:tr w:rsidR="00823EF8" w14:paraId="47A187C9" w14:textId="77777777" w:rsidTr="009E2CA8">
        <w:tc>
          <w:tcPr>
            <w:tcW w:w="1697" w:type="dxa"/>
          </w:tcPr>
          <w:p w14:paraId="176043CD" w14:textId="19701974" w:rsidR="00823EF8" w:rsidRDefault="00823EF8" w:rsidP="00F20994">
            <w:pPr>
              <w:rPr>
                <w:rFonts w:ascii="Arial" w:hAnsi="Arial" w:cs="Arial"/>
                <w:b/>
              </w:rPr>
            </w:pPr>
            <w:r>
              <w:rPr>
                <w:rFonts w:ascii="Arial" w:hAnsi="Arial" w:cs="Arial"/>
                <w:b/>
              </w:rPr>
              <w:t>Farsta SDN</w:t>
            </w:r>
          </w:p>
          <w:p w14:paraId="6315D4DB" w14:textId="77777777" w:rsidR="00823EF8" w:rsidRDefault="00823EF8" w:rsidP="00F20994">
            <w:pPr>
              <w:rPr>
                <w:rFonts w:ascii="Arial" w:hAnsi="Arial" w:cs="Arial"/>
                <w:b/>
              </w:rPr>
            </w:pPr>
            <w:r>
              <w:rPr>
                <w:rFonts w:ascii="Arial" w:hAnsi="Arial" w:cs="Arial"/>
                <w:b/>
              </w:rPr>
              <w:t>Verksamhet</w:t>
            </w:r>
          </w:p>
        </w:tc>
        <w:tc>
          <w:tcPr>
            <w:tcW w:w="1086" w:type="dxa"/>
          </w:tcPr>
          <w:p w14:paraId="5793B70A" w14:textId="77777777" w:rsidR="00823EF8" w:rsidRDefault="00823EF8" w:rsidP="00F20994">
            <w:pPr>
              <w:rPr>
                <w:rFonts w:ascii="Arial" w:hAnsi="Arial" w:cs="Arial"/>
                <w:b/>
              </w:rPr>
            </w:pPr>
            <w:r>
              <w:rPr>
                <w:rFonts w:ascii="Arial" w:hAnsi="Arial" w:cs="Arial"/>
                <w:b/>
              </w:rPr>
              <w:t>Budget</w:t>
            </w:r>
          </w:p>
          <w:p w14:paraId="58E1E089" w14:textId="77777777" w:rsidR="00823EF8" w:rsidRDefault="00823EF8" w:rsidP="00F20994">
            <w:pPr>
              <w:jc w:val="center"/>
              <w:rPr>
                <w:rFonts w:ascii="Arial" w:hAnsi="Arial" w:cs="Arial"/>
                <w:b/>
              </w:rPr>
            </w:pPr>
            <w:r>
              <w:rPr>
                <w:rFonts w:ascii="Arial" w:hAnsi="Arial" w:cs="Arial"/>
                <w:b/>
              </w:rPr>
              <w:t>2018</w:t>
            </w:r>
          </w:p>
        </w:tc>
        <w:tc>
          <w:tcPr>
            <w:tcW w:w="1670" w:type="dxa"/>
          </w:tcPr>
          <w:p w14:paraId="6C6FC2CE" w14:textId="77777777" w:rsidR="00823EF8" w:rsidRPr="003F6920" w:rsidRDefault="00823EF8" w:rsidP="00F20994">
            <w:pPr>
              <w:jc w:val="center"/>
              <w:rPr>
                <w:rFonts w:ascii="Arial" w:hAnsi="Arial" w:cs="Arial"/>
                <w:b/>
                <w:color w:val="003E62" w:themeColor="accent3" w:themeShade="80"/>
              </w:rPr>
            </w:pPr>
            <w:r w:rsidRPr="003F6920">
              <w:rPr>
                <w:rFonts w:ascii="Arial" w:hAnsi="Arial" w:cs="Arial"/>
                <w:b/>
                <w:color w:val="003E62" w:themeColor="accent3" w:themeShade="80"/>
              </w:rPr>
              <w:t>Blågrön</w:t>
            </w:r>
          </w:p>
          <w:p w14:paraId="16914D47" w14:textId="77777777" w:rsidR="00823EF8" w:rsidRPr="00066E8A" w:rsidRDefault="00823EF8" w:rsidP="00F20994">
            <w:pPr>
              <w:jc w:val="center"/>
              <w:rPr>
                <w:rFonts w:ascii="Arial" w:hAnsi="Arial" w:cs="Arial"/>
                <w:b/>
                <w:color w:val="144E49" w:themeColor="accent1" w:themeShade="80"/>
              </w:rPr>
            </w:pPr>
            <w:r w:rsidRPr="00FB732C">
              <w:rPr>
                <w:rFonts w:ascii="Arial" w:hAnsi="Arial" w:cs="Arial"/>
                <w:b/>
                <w:color w:val="000000" w:themeColor="text1"/>
              </w:rPr>
              <w:t>2019</w:t>
            </w:r>
          </w:p>
        </w:tc>
        <w:tc>
          <w:tcPr>
            <w:tcW w:w="1190" w:type="dxa"/>
          </w:tcPr>
          <w:p w14:paraId="5BFCA6A2" w14:textId="412C7BDD" w:rsidR="00823EF8" w:rsidRPr="00955241" w:rsidRDefault="002E22F8" w:rsidP="00955241">
            <w:pPr>
              <w:jc w:val="center"/>
              <w:rPr>
                <w:rFonts w:ascii="Arial" w:hAnsi="Arial" w:cs="Arial"/>
                <w:b/>
                <w:color w:val="000000" w:themeColor="text1"/>
              </w:rPr>
            </w:pPr>
            <w:proofErr w:type="spellStart"/>
            <w:r>
              <w:rPr>
                <w:rFonts w:ascii="Arial" w:hAnsi="Arial" w:cs="Arial"/>
                <w:b/>
                <w:color w:val="000000" w:themeColor="text1"/>
              </w:rPr>
              <w:t>Jämf</w:t>
            </w:r>
            <w:proofErr w:type="spellEnd"/>
            <w:r>
              <w:rPr>
                <w:rFonts w:ascii="Arial" w:hAnsi="Arial" w:cs="Arial"/>
                <w:b/>
                <w:color w:val="000000" w:themeColor="text1"/>
              </w:rPr>
              <w:t>. 2018</w:t>
            </w:r>
          </w:p>
        </w:tc>
        <w:tc>
          <w:tcPr>
            <w:tcW w:w="1445" w:type="dxa"/>
          </w:tcPr>
          <w:p w14:paraId="06916CBF" w14:textId="77777777" w:rsidR="00823EF8" w:rsidRPr="00440077" w:rsidRDefault="00823EF8" w:rsidP="00F20994">
            <w:pPr>
              <w:jc w:val="center"/>
              <w:rPr>
                <w:rFonts w:ascii="Arial" w:hAnsi="Arial" w:cs="Arial"/>
                <w:b/>
                <w:color w:val="C00000"/>
              </w:rPr>
            </w:pPr>
            <w:r w:rsidRPr="00440077">
              <w:rPr>
                <w:rFonts w:ascii="Arial" w:hAnsi="Arial" w:cs="Arial"/>
                <w:b/>
                <w:color w:val="C00000"/>
              </w:rPr>
              <w:t>Vänstern</w:t>
            </w:r>
          </w:p>
          <w:p w14:paraId="14059157" w14:textId="77777777" w:rsidR="00823EF8" w:rsidRPr="00440077" w:rsidRDefault="00823EF8" w:rsidP="00F20994">
            <w:pPr>
              <w:jc w:val="center"/>
              <w:rPr>
                <w:rFonts w:ascii="Arial" w:hAnsi="Arial" w:cs="Arial"/>
                <w:b/>
                <w:color w:val="C00000"/>
              </w:rPr>
            </w:pPr>
            <w:r w:rsidRPr="00FB732C">
              <w:rPr>
                <w:rFonts w:ascii="Arial" w:hAnsi="Arial" w:cs="Arial"/>
                <w:b/>
                <w:color w:val="000000" w:themeColor="text1"/>
              </w:rPr>
              <w:t>2019</w:t>
            </w:r>
          </w:p>
        </w:tc>
        <w:tc>
          <w:tcPr>
            <w:tcW w:w="1283" w:type="dxa"/>
          </w:tcPr>
          <w:p w14:paraId="34A561B1" w14:textId="0A0ED90B" w:rsidR="00823EF8" w:rsidRPr="002E22F8" w:rsidRDefault="002E22F8" w:rsidP="002E22F8">
            <w:pPr>
              <w:jc w:val="center"/>
              <w:rPr>
                <w:rFonts w:ascii="Arial" w:hAnsi="Arial" w:cs="Arial"/>
                <w:b/>
                <w:color w:val="000000" w:themeColor="text1"/>
              </w:rPr>
            </w:pPr>
            <w:proofErr w:type="spellStart"/>
            <w:r>
              <w:rPr>
                <w:rFonts w:ascii="Arial" w:hAnsi="Arial" w:cs="Arial"/>
                <w:b/>
                <w:color w:val="000000" w:themeColor="text1"/>
              </w:rPr>
              <w:t>Jämf</w:t>
            </w:r>
            <w:proofErr w:type="spellEnd"/>
            <w:r>
              <w:rPr>
                <w:rFonts w:ascii="Arial" w:hAnsi="Arial" w:cs="Arial"/>
                <w:b/>
                <w:color w:val="000000" w:themeColor="text1"/>
              </w:rPr>
              <w:t>.</w:t>
            </w:r>
            <w:r w:rsidR="00102753">
              <w:rPr>
                <w:rFonts w:ascii="Arial" w:hAnsi="Arial" w:cs="Arial"/>
                <w:b/>
                <w:color w:val="000000" w:themeColor="text1"/>
              </w:rPr>
              <w:t xml:space="preserve"> 2018</w:t>
            </w:r>
          </w:p>
        </w:tc>
      </w:tr>
      <w:tr w:rsidR="002158F8" w14:paraId="1D0B5440" w14:textId="77777777" w:rsidTr="009E2CA8">
        <w:tc>
          <w:tcPr>
            <w:tcW w:w="1697" w:type="dxa"/>
          </w:tcPr>
          <w:p w14:paraId="72D1313D" w14:textId="56ABE1D5" w:rsidR="002158F8" w:rsidRPr="008C0304" w:rsidRDefault="002158F8" w:rsidP="00F20994">
            <w:pPr>
              <w:rPr>
                <w:rFonts w:ascii="Arial" w:hAnsi="Arial" w:cs="Arial"/>
              </w:rPr>
            </w:pPr>
            <w:proofErr w:type="spellStart"/>
            <w:r w:rsidRPr="008C0304">
              <w:rPr>
                <w:rFonts w:ascii="Arial" w:hAnsi="Arial" w:cs="Arial"/>
              </w:rPr>
              <w:t>Nämnd&amp;Förv</w:t>
            </w:r>
            <w:proofErr w:type="spellEnd"/>
            <w:r w:rsidRPr="008C0304">
              <w:rPr>
                <w:rFonts w:ascii="Arial" w:hAnsi="Arial" w:cs="Arial"/>
              </w:rPr>
              <w:t>.</w:t>
            </w:r>
          </w:p>
        </w:tc>
        <w:tc>
          <w:tcPr>
            <w:tcW w:w="1086" w:type="dxa"/>
          </w:tcPr>
          <w:p w14:paraId="5E5AED3D" w14:textId="6DA7F1EC" w:rsidR="002158F8" w:rsidRPr="00D74414" w:rsidRDefault="00D74414" w:rsidP="009B474C">
            <w:pPr>
              <w:jc w:val="right"/>
              <w:rPr>
                <w:rFonts w:ascii="Arial" w:hAnsi="Arial" w:cs="Arial"/>
              </w:rPr>
            </w:pPr>
            <w:r w:rsidRPr="00D74414">
              <w:rPr>
                <w:rFonts w:ascii="Arial" w:hAnsi="Arial" w:cs="Arial"/>
              </w:rPr>
              <w:t>74,4</w:t>
            </w:r>
          </w:p>
        </w:tc>
        <w:tc>
          <w:tcPr>
            <w:tcW w:w="1670" w:type="dxa"/>
          </w:tcPr>
          <w:p w14:paraId="614C3591" w14:textId="2E577162" w:rsidR="002158F8" w:rsidRPr="00F513AF" w:rsidRDefault="001D2D1B" w:rsidP="00F513AF">
            <w:pPr>
              <w:jc w:val="right"/>
              <w:rPr>
                <w:rFonts w:ascii="Arial" w:hAnsi="Arial" w:cs="Arial"/>
                <w:color w:val="000000" w:themeColor="text1"/>
              </w:rPr>
            </w:pPr>
            <w:r w:rsidRPr="00F513AF">
              <w:rPr>
                <w:rFonts w:ascii="Arial" w:hAnsi="Arial" w:cs="Arial"/>
                <w:color w:val="000000" w:themeColor="text1"/>
              </w:rPr>
              <w:t>79,9</w:t>
            </w:r>
          </w:p>
        </w:tc>
        <w:tc>
          <w:tcPr>
            <w:tcW w:w="1190" w:type="dxa"/>
          </w:tcPr>
          <w:p w14:paraId="43AFF7E8" w14:textId="30CF97D6" w:rsidR="002158F8" w:rsidRPr="001D2D1B" w:rsidRDefault="001D2D1B" w:rsidP="00F513AF">
            <w:pPr>
              <w:jc w:val="right"/>
              <w:rPr>
                <w:rFonts w:ascii="Arial" w:hAnsi="Arial" w:cs="Arial"/>
                <w:color w:val="000000" w:themeColor="text1"/>
              </w:rPr>
            </w:pPr>
            <w:r w:rsidRPr="001D2D1B">
              <w:rPr>
                <w:rFonts w:ascii="Arial" w:hAnsi="Arial" w:cs="Arial"/>
                <w:color w:val="000000" w:themeColor="text1"/>
              </w:rPr>
              <w:t>5,4</w:t>
            </w:r>
          </w:p>
        </w:tc>
        <w:tc>
          <w:tcPr>
            <w:tcW w:w="1445" w:type="dxa"/>
          </w:tcPr>
          <w:p w14:paraId="50C65F44" w14:textId="41157F0E" w:rsidR="002158F8" w:rsidRPr="00AE1F5F" w:rsidRDefault="00AE1F5F" w:rsidP="00AE1F5F">
            <w:pPr>
              <w:jc w:val="right"/>
              <w:rPr>
                <w:rFonts w:ascii="Arial" w:hAnsi="Arial" w:cs="Arial"/>
                <w:color w:val="C00000"/>
              </w:rPr>
            </w:pPr>
            <w:r w:rsidRPr="00AE1F5F">
              <w:rPr>
                <w:rFonts w:ascii="Arial" w:hAnsi="Arial" w:cs="Arial"/>
                <w:color w:val="000000" w:themeColor="text1"/>
              </w:rPr>
              <w:t>79,9</w:t>
            </w:r>
          </w:p>
        </w:tc>
        <w:tc>
          <w:tcPr>
            <w:tcW w:w="1283" w:type="dxa"/>
          </w:tcPr>
          <w:p w14:paraId="65418154" w14:textId="39207956" w:rsidR="002158F8" w:rsidRPr="00FD6420" w:rsidRDefault="00066C80" w:rsidP="00FD6420">
            <w:pPr>
              <w:jc w:val="right"/>
              <w:rPr>
                <w:rFonts w:ascii="Arial" w:hAnsi="Arial" w:cs="Arial"/>
                <w:color w:val="000000" w:themeColor="text1"/>
              </w:rPr>
            </w:pPr>
            <w:r w:rsidRPr="00FD6420">
              <w:rPr>
                <w:rFonts w:ascii="Arial" w:hAnsi="Arial" w:cs="Arial"/>
                <w:color w:val="000000" w:themeColor="text1"/>
              </w:rPr>
              <w:t>5,4</w:t>
            </w:r>
          </w:p>
        </w:tc>
      </w:tr>
      <w:tr w:rsidR="007A18F8" w14:paraId="7252AE88" w14:textId="77777777" w:rsidTr="009E2CA8">
        <w:tc>
          <w:tcPr>
            <w:tcW w:w="1697" w:type="dxa"/>
          </w:tcPr>
          <w:p w14:paraId="716E8CCB" w14:textId="68FE96A2" w:rsidR="007A18F8" w:rsidRPr="008C0304" w:rsidRDefault="007A18F8" w:rsidP="00F20994">
            <w:pPr>
              <w:rPr>
                <w:rFonts w:ascii="Arial" w:hAnsi="Arial" w:cs="Arial"/>
              </w:rPr>
            </w:pPr>
            <w:proofErr w:type="spellStart"/>
            <w:r w:rsidRPr="008C0304">
              <w:rPr>
                <w:rFonts w:ascii="Arial" w:hAnsi="Arial" w:cs="Arial"/>
              </w:rPr>
              <w:t>Gem.reserv</w:t>
            </w:r>
            <w:proofErr w:type="spellEnd"/>
          </w:p>
        </w:tc>
        <w:tc>
          <w:tcPr>
            <w:tcW w:w="1086" w:type="dxa"/>
          </w:tcPr>
          <w:p w14:paraId="391C32F8" w14:textId="09E5AF2E" w:rsidR="007A18F8" w:rsidRPr="00D74414" w:rsidRDefault="007A18F8" w:rsidP="009B474C">
            <w:pPr>
              <w:jc w:val="right"/>
              <w:rPr>
                <w:rFonts w:ascii="Arial" w:hAnsi="Arial" w:cs="Arial"/>
              </w:rPr>
            </w:pPr>
            <w:r>
              <w:rPr>
                <w:rFonts w:ascii="Arial" w:hAnsi="Arial" w:cs="Arial"/>
              </w:rPr>
              <w:t>5,0</w:t>
            </w:r>
          </w:p>
        </w:tc>
        <w:tc>
          <w:tcPr>
            <w:tcW w:w="1670" w:type="dxa"/>
          </w:tcPr>
          <w:p w14:paraId="09DC2B3D" w14:textId="4B7E2185" w:rsidR="007A18F8" w:rsidRPr="00F513AF" w:rsidRDefault="007A18F8" w:rsidP="00F513AF">
            <w:pPr>
              <w:jc w:val="right"/>
              <w:rPr>
                <w:rFonts w:ascii="Arial" w:hAnsi="Arial" w:cs="Arial"/>
                <w:color w:val="000000" w:themeColor="text1"/>
              </w:rPr>
            </w:pPr>
            <w:r w:rsidRPr="00F513AF">
              <w:rPr>
                <w:rFonts w:ascii="Arial" w:hAnsi="Arial" w:cs="Arial"/>
                <w:color w:val="000000" w:themeColor="text1"/>
              </w:rPr>
              <w:t>5,0</w:t>
            </w:r>
          </w:p>
        </w:tc>
        <w:tc>
          <w:tcPr>
            <w:tcW w:w="1190" w:type="dxa"/>
          </w:tcPr>
          <w:p w14:paraId="5E738026" w14:textId="40D8D2CB" w:rsidR="007A18F8" w:rsidRPr="001D2D1B" w:rsidRDefault="007A18F8" w:rsidP="00F513AF">
            <w:pPr>
              <w:jc w:val="right"/>
              <w:rPr>
                <w:rFonts w:ascii="Arial" w:hAnsi="Arial" w:cs="Arial"/>
                <w:color w:val="000000" w:themeColor="text1"/>
              </w:rPr>
            </w:pPr>
            <w:r>
              <w:rPr>
                <w:rFonts w:ascii="Arial" w:hAnsi="Arial" w:cs="Arial"/>
                <w:color w:val="000000" w:themeColor="text1"/>
              </w:rPr>
              <w:t>0,0</w:t>
            </w:r>
          </w:p>
        </w:tc>
        <w:tc>
          <w:tcPr>
            <w:tcW w:w="1445" w:type="dxa"/>
          </w:tcPr>
          <w:p w14:paraId="10082C77" w14:textId="5D980B84" w:rsidR="007A18F8" w:rsidRPr="00F80DD9" w:rsidRDefault="00F80DD9" w:rsidP="00F80DD9">
            <w:pPr>
              <w:jc w:val="right"/>
              <w:rPr>
                <w:rFonts w:ascii="Arial" w:hAnsi="Arial" w:cs="Arial"/>
                <w:color w:val="C00000"/>
              </w:rPr>
            </w:pPr>
            <w:r w:rsidRPr="00F80DD9">
              <w:rPr>
                <w:rFonts w:ascii="Arial" w:hAnsi="Arial" w:cs="Arial"/>
                <w:color w:val="000000" w:themeColor="text1"/>
              </w:rPr>
              <w:t>5,0</w:t>
            </w:r>
          </w:p>
        </w:tc>
        <w:tc>
          <w:tcPr>
            <w:tcW w:w="1283" w:type="dxa"/>
          </w:tcPr>
          <w:p w14:paraId="249E91F8" w14:textId="2DDB9AB4" w:rsidR="007A18F8" w:rsidRPr="00FD6420" w:rsidRDefault="00066C80" w:rsidP="00FD6420">
            <w:pPr>
              <w:jc w:val="right"/>
              <w:rPr>
                <w:rFonts w:ascii="Arial" w:hAnsi="Arial" w:cs="Arial"/>
                <w:color w:val="000000" w:themeColor="text1"/>
              </w:rPr>
            </w:pPr>
            <w:r w:rsidRPr="00FD6420">
              <w:rPr>
                <w:rFonts w:ascii="Arial" w:hAnsi="Arial" w:cs="Arial"/>
                <w:color w:val="000000" w:themeColor="text1"/>
              </w:rPr>
              <w:t>0,0</w:t>
            </w:r>
          </w:p>
        </w:tc>
      </w:tr>
      <w:tr w:rsidR="00823EF8" w14:paraId="5F3CAA46" w14:textId="77777777" w:rsidTr="009E2CA8">
        <w:tc>
          <w:tcPr>
            <w:tcW w:w="1697" w:type="dxa"/>
          </w:tcPr>
          <w:p w14:paraId="1AE3049C" w14:textId="77777777" w:rsidR="00823EF8" w:rsidRPr="008C0304" w:rsidRDefault="00823EF8" w:rsidP="00F20994">
            <w:pPr>
              <w:rPr>
                <w:rFonts w:ascii="Arial" w:hAnsi="Arial" w:cs="Arial"/>
              </w:rPr>
            </w:pPr>
            <w:r w:rsidRPr="008C0304">
              <w:rPr>
                <w:rFonts w:ascii="Arial" w:hAnsi="Arial" w:cs="Arial"/>
              </w:rPr>
              <w:t>Förskola</w:t>
            </w:r>
          </w:p>
        </w:tc>
        <w:tc>
          <w:tcPr>
            <w:tcW w:w="1086" w:type="dxa"/>
          </w:tcPr>
          <w:p w14:paraId="12349F4E" w14:textId="481C4D4E" w:rsidR="00823EF8" w:rsidRPr="007E0C93" w:rsidRDefault="00823EF8" w:rsidP="00F20994">
            <w:pPr>
              <w:jc w:val="right"/>
              <w:rPr>
                <w:rFonts w:ascii="Arial" w:hAnsi="Arial" w:cs="Arial"/>
              </w:rPr>
            </w:pPr>
            <w:r>
              <w:rPr>
                <w:rFonts w:ascii="Arial" w:hAnsi="Arial" w:cs="Arial"/>
              </w:rPr>
              <w:t xml:space="preserve">   </w:t>
            </w:r>
            <w:r w:rsidR="007A18F8">
              <w:rPr>
                <w:rFonts w:ascii="Arial" w:hAnsi="Arial" w:cs="Arial"/>
              </w:rPr>
              <w:t>306,1</w:t>
            </w:r>
          </w:p>
        </w:tc>
        <w:tc>
          <w:tcPr>
            <w:tcW w:w="1670" w:type="dxa"/>
          </w:tcPr>
          <w:p w14:paraId="07D02385" w14:textId="10E47E66" w:rsidR="00823EF8" w:rsidRPr="00A57738" w:rsidRDefault="007A18F8" w:rsidP="00F20994">
            <w:pPr>
              <w:jc w:val="right"/>
              <w:rPr>
                <w:rFonts w:ascii="Arial" w:hAnsi="Arial" w:cs="Arial"/>
                <w:color w:val="000000" w:themeColor="text1"/>
              </w:rPr>
            </w:pPr>
            <w:r>
              <w:rPr>
                <w:rFonts w:ascii="Arial" w:hAnsi="Arial" w:cs="Arial"/>
                <w:color w:val="000000" w:themeColor="text1"/>
              </w:rPr>
              <w:t>325,7</w:t>
            </w:r>
          </w:p>
        </w:tc>
        <w:tc>
          <w:tcPr>
            <w:tcW w:w="1190" w:type="dxa"/>
          </w:tcPr>
          <w:p w14:paraId="56EF50EC" w14:textId="1856FCC0" w:rsidR="00823EF8" w:rsidRPr="00A57738" w:rsidRDefault="00E84098" w:rsidP="00F20994">
            <w:pPr>
              <w:jc w:val="right"/>
              <w:rPr>
                <w:rFonts w:ascii="Arial" w:hAnsi="Arial" w:cs="Arial"/>
                <w:color w:val="000000" w:themeColor="text1"/>
              </w:rPr>
            </w:pPr>
            <w:r>
              <w:rPr>
                <w:rFonts w:ascii="Arial" w:hAnsi="Arial" w:cs="Arial"/>
                <w:color w:val="000000" w:themeColor="text1"/>
              </w:rPr>
              <w:t>19</w:t>
            </w:r>
            <w:r w:rsidR="00823EF8" w:rsidRPr="00A57738">
              <w:rPr>
                <w:rFonts w:ascii="Arial" w:hAnsi="Arial" w:cs="Arial"/>
                <w:color w:val="000000" w:themeColor="text1"/>
              </w:rPr>
              <w:t>,6</w:t>
            </w:r>
          </w:p>
        </w:tc>
        <w:tc>
          <w:tcPr>
            <w:tcW w:w="1445" w:type="dxa"/>
          </w:tcPr>
          <w:p w14:paraId="36006300" w14:textId="06BF8E7A" w:rsidR="00823EF8" w:rsidRPr="00A57738" w:rsidRDefault="00DF4408" w:rsidP="00F20994">
            <w:pPr>
              <w:jc w:val="right"/>
              <w:rPr>
                <w:rFonts w:ascii="Arial" w:hAnsi="Arial" w:cs="Arial"/>
                <w:color w:val="000000" w:themeColor="text1"/>
              </w:rPr>
            </w:pPr>
            <w:r>
              <w:rPr>
                <w:rFonts w:ascii="Arial" w:hAnsi="Arial" w:cs="Arial"/>
                <w:color w:val="000000" w:themeColor="text1"/>
              </w:rPr>
              <w:t>33</w:t>
            </w:r>
            <w:r w:rsidR="00823EF8" w:rsidRPr="00A57738">
              <w:rPr>
                <w:rFonts w:ascii="Arial" w:hAnsi="Arial" w:cs="Arial"/>
                <w:color w:val="000000" w:themeColor="text1"/>
              </w:rPr>
              <w:t>2,0</w:t>
            </w:r>
          </w:p>
        </w:tc>
        <w:tc>
          <w:tcPr>
            <w:tcW w:w="1283" w:type="dxa"/>
          </w:tcPr>
          <w:p w14:paraId="47E2B4BE" w14:textId="53789124" w:rsidR="00823EF8" w:rsidRPr="00A57738" w:rsidRDefault="00605295" w:rsidP="00F20994">
            <w:pPr>
              <w:jc w:val="right"/>
              <w:rPr>
                <w:rFonts w:ascii="Arial" w:hAnsi="Arial" w:cs="Arial"/>
                <w:color w:val="000000" w:themeColor="text1"/>
              </w:rPr>
            </w:pPr>
            <w:r>
              <w:rPr>
                <w:rFonts w:ascii="Arial" w:hAnsi="Arial" w:cs="Arial"/>
                <w:color w:val="000000" w:themeColor="text1"/>
              </w:rPr>
              <w:t>25</w:t>
            </w:r>
            <w:r w:rsidR="00EF0DEA">
              <w:rPr>
                <w:rFonts w:ascii="Arial" w:hAnsi="Arial" w:cs="Arial"/>
                <w:color w:val="000000" w:themeColor="text1"/>
              </w:rPr>
              <w:t>,</w:t>
            </w:r>
            <w:r>
              <w:rPr>
                <w:rFonts w:ascii="Arial" w:hAnsi="Arial" w:cs="Arial"/>
                <w:color w:val="000000" w:themeColor="text1"/>
              </w:rPr>
              <w:t>9</w:t>
            </w:r>
          </w:p>
        </w:tc>
      </w:tr>
      <w:tr w:rsidR="00823EF8" w14:paraId="7795A532" w14:textId="77777777" w:rsidTr="009E2CA8">
        <w:tc>
          <w:tcPr>
            <w:tcW w:w="1697" w:type="dxa"/>
          </w:tcPr>
          <w:p w14:paraId="355D23AF" w14:textId="77777777" w:rsidR="00823EF8" w:rsidRPr="008C0304" w:rsidRDefault="00823EF8" w:rsidP="00F20994">
            <w:pPr>
              <w:rPr>
                <w:rFonts w:ascii="Arial" w:hAnsi="Arial" w:cs="Arial"/>
              </w:rPr>
            </w:pPr>
            <w:r w:rsidRPr="008C0304">
              <w:rPr>
                <w:rFonts w:ascii="Arial" w:hAnsi="Arial" w:cs="Arial"/>
              </w:rPr>
              <w:t>Barn, kultur och fritid</w:t>
            </w:r>
          </w:p>
        </w:tc>
        <w:tc>
          <w:tcPr>
            <w:tcW w:w="1086" w:type="dxa"/>
          </w:tcPr>
          <w:p w14:paraId="512ECBC3" w14:textId="2CA95A49" w:rsidR="00823EF8" w:rsidRPr="007E0C93" w:rsidRDefault="00823EF8" w:rsidP="00F20994">
            <w:pPr>
              <w:jc w:val="right"/>
              <w:rPr>
                <w:rFonts w:ascii="Arial" w:hAnsi="Arial" w:cs="Arial"/>
              </w:rPr>
            </w:pPr>
            <w:r>
              <w:rPr>
                <w:rFonts w:ascii="Arial" w:hAnsi="Arial" w:cs="Arial"/>
              </w:rPr>
              <w:t xml:space="preserve">     </w:t>
            </w:r>
            <w:r w:rsidR="007A18F8">
              <w:rPr>
                <w:rFonts w:ascii="Arial" w:hAnsi="Arial" w:cs="Arial"/>
              </w:rPr>
              <w:t>24,4</w:t>
            </w:r>
          </w:p>
        </w:tc>
        <w:tc>
          <w:tcPr>
            <w:tcW w:w="1670" w:type="dxa"/>
          </w:tcPr>
          <w:p w14:paraId="0B4BD3DB" w14:textId="6FB76543" w:rsidR="00823EF8" w:rsidRPr="00A57738" w:rsidRDefault="007A18F8" w:rsidP="00F20994">
            <w:pPr>
              <w:jc w:val="right"/>
              <w:rPr>
                <w:rFonts w:ascii="Arial" w:hAnsi="Arial" w:cs="Arial"/>
                <w:color w:val="000000" w:themeColor="text1"/>
              </w:rPr>
            </w:pPr>
            <w:r>
              <w:rPr>
                <w:rFonts w:ascii="Arial" w:hAnsi="Arial" w:cs="Arial"/>
                <w:color w:val="000000" w:themeColor="text1"/>
              </w:rPr>
              <w:t>24,1</w:t>
            </w:r>
          </w:p>
        </w:tc>
        <w:tc>
          <w:tcPr>
            <w:tcW w:w="1190" w:type="dxa"/>
          </w:tcPr>
          <w:p w14:paraId="770B2E21" w14:textId="78C21BC2" w:rsidR="00823EF8" w:rsidRPr="00A57738" w:rsidRDefault="00E84098" w:rsidP="00F20994">
            <w:pPr>
              <w:jc w:val="right"/>
              <w:rPr>
                <w:rFonts w:ascii="Arial" w:hAnsi="Arial" w:cs="Arial"/>
                <w:color w:val="000000" w:themeColor="text1"/>
              </w:rPr>
            </w:pPr>
            <w:r>
              <w:rPr>
                <w:rFonts w:ascii="Arial" w:hAnsi="Arial" w:cs="Arial"/>
                <w:color w:val="000000" w:themeColor="text1"/>
              </w:rPr>
              <w:t>-0</w:t>
            </w:r>
            <w:r w:rsidR="00823EF8" w:rsidRPr="00A57738">
              <w:rPr>
                <w:rFonts w:ascii="Arial" w:hAnsi="Arial" w:cs="Arial"/>
                <w:color w:val="000000" w:themeColor="text1"/>
              </w:rPr>
              <w:t>,3</w:t>
            </w:r>
          </w:p>
        </w:tc>
        <w:tc>
          <w:tcPr>
            <w:tcW w:w="1445" w:type="dxa"/>
          </w:tcPr>
          <w:p w14:paraId="02F5A353" w14:textId="08A3A1B4" w:rsidR="00823EF8" w:rsidRPr="00A57738" w:rsidRDefault="004F2791" w:rsidP="00F20994">
            <w:pPr>
              <w:jc w:val="right"/>
              <w:rPr>
                <w:rFonts w:ascii="Arial" w:hAnsi="Arial" w:cs="Arial"/>
                <w:color w:val="000000" w:themeColor="text1"/>
              </w:rPr>
            </w:pPr>
            <w:r>
              <w:rPr>
                <w:rFonts w:ascii="Arial" w:hAnsi="Arial" w:cs="Arial"/>
                <w:color w:val="000000" w:themeColor="text1"/>
              </w:rPr>
              <w:t>25,</w:t>
            </w:r>
            <w:r w:rsidR="00B1759C">
              <w:rPr>
                <w:rFonts w:ascii="Arial" w:hAnsi="Arial" w:cs="Arial"/>
                <w:color w:val="000000" w:themeColor="text1"/>
              </w:rPr>
              <w:t>4</w:t>
            </w:r>
          </w:p>
        </w:tc>
        <w:tc>
          <w:tcPr>
            <w:tcW w:w="1283" w:type="dxa"/>
          </w:tcPr>
          <w:p w14:paraId="24875A08" w14:textId="106AA75A" w:rsidR="00823EF8" w:rsidRPr="00A57738" w:rsidRDefault="00B1759C" w:rsidP="00F20994">
            <w:pPr>
              <w:jc w:val="right"/>
              <w:rPr>
                <w:rFonts w:ascii="Arial" w:hAnsi="Arial" w:cs="Arial"/>
                <w:color w:val="000000" w:themeColor="text1"/>
              </w:rPr>
            </w:pPr>
            <w:r>
              <w:rPr>
                <w:rFonts w:ascii="Arial" w:hAnsi="Arial" w:cs="Arial"/>
                <w:color w:val="000000" w:themeColor="text1"/>
              </w:rPr>
              <w:t>1</w:t>
            </w:r>
            <w:r w:rsidR="00A27D52">
              <w:rPr>
                <w:rFonts w:ascii="Arial" w:hAnsi="Arial" w:cs="Arial"/>
                <w:color w:val="000000" w:themeColor="text1"/>
              </w:rPr>
              <w:t>,0</w:t>
            </w:r>
          </w:p>
        </w:tc>
      </w:tr>
      <w:tr w:rsidR="00823EF8" w14:paraId="7A2F7D1E" w14:textId="77777777" w:rsidTr="009E2CA8">
        <w:tc>
          <w:tcPr>
            <w:tcW w:w="1697" w:type="dxa"/>
          </w:tcPr>
          <w:p w14:paraId="42EF5A29" w14:textId="77777777" w:rsidR="00823EF8" w:rsidRPr="008C0304" w:rsidRDefault="00823EF8" w:rsidP="00F20994">
            <w:pPr>
              <w:rPr>
                <w:rFonts w:ascii="Arial" w:hAnsi="Arial" w:cs="Arial"/>
              </w:rPr>
            </w:pPr>
            <w:r w:rsidRPr="008C0304">
              <w:rPr>
                <w:rFonts w:ascii="Arial" w:hAnsi="Arial" w:cs="Arial"/>
              </w:rPr>
              <w:t>Äldreomsorg</w:t>
            </w:r>
          </w:p>
        </w:tc>
        <w:tc>
          <w:tcPr>
            <w:tcW w:w="1086" w:type="dxa"/>
          </w:tcPr>
          <w:p w14:paraId="7362BF6B" w14:textId="4A129ABB" w:rsidR="00823EF8" w:rsidRPr="007E0C93" w:rsidRDefault="00823EF8" w:rsidP="00F20994">
            <w:pPr>
              <w:jc w:val="right"/>
              <w:rPr>
                <w:rFonts w:ascii="Arial" w:hAnsi="Arial" w:cs="Arial"/>
              </w:rPr>
            </w:pPr>
            <w:r>
              <w:rPr>
                <w:rFonts w:ascii="Arial" w:hAnsi="Arial" w:cs="Arial"/>
              </w:rPr>
              <w:t xml:space="preserve">   </w:t>
            </w:r>
            <w:r w:rsidR="00AB5776">
              <w:rPr>
                <w:rFonts w:ascii="Arial" w:hAnsi="Arial" w:cs="Arial"/>
              </w:rPr>
              <w:t>589,2</w:t>
            </w:r>
          </w:p>
        </w:tc>
        <w:tc>
          <w:tcPr>
            <w:tcW w:w="1670" w:type="dxa"/>
          </w:tcPr>
          <w:p w14:paraId="2E56549F" w14:textId="7B657F8F" w:rsidR="00823EF8" w:rsidRPr="00A57738" w:rsidRDefault="00AB5776" w:rsidP="00F20994">
            <w:pPr>
              <w:jc w:val="right"/>
              <w:rPr>
                <w:rFonts w:ascii="Arial" w:hAnsi="Arial" w:cs="Arial"/>
                <w:color w:val="000000" w:themeColor="text1"/>
              </w:rPr>
            </w:pPr>
            <w:r>
              <w:rPr>
                <w:rFonts w:ascii="Arial" w:hAnsi="Arial" w:cs="Arial"/>
                <w:color w:val="000000" w:themeColor="text1"/>
              </w:rPr>
              <w:t xml:space="preserve">  584,2</w:t>
            </w:r>
          </w:p>
        </w:tc>
        <w:tc>
          <w:tcPr>
            <w:tcW w:w="1190" w:type="dxa"/>
          </w:tcPr>
          <w:p w14:paraId="40F92F34" w14:textId="75F4998A" w:rsidR="00823EF8" w:rsidRPr="00A57738" w:rsidRDefault="00E84098" w:rsidP="00F20994">
            <w:pPr>
              <w:jc w:val="right"/>
              <w:rPr>
                <w:rFonts w:ascii="Arial" w:hAnsi="Arial" w:cs="Arial"/>
                <w:color w:val="000000" w:themeColor="text1"/>
              </w:rPr>
            </w:pPr>
            <w:r>
              <w:rPr>
                <w:rFonts w:ascii="Arial" w:hAnsi="Arial" w:cs="Arial"/>
                <w:color w:val="000000" w:themeColor="text1"/>
              </w:rPr>
              <w:t>-5</w:t>
            </w:r>
            <w:r w:rsidR="00823EF8" w:rsidRPr="00A57738">
              <w:rPr>
                <w:rFonts w:ascii="Arial" w:hAnsi="Arial" w:cs="Arial"/>
                <w:color w:val="000000" w:themeColor="text1"/>
              </w:rPr>
              <w:t>,</w:t>
            </w:r>
            <w:r>
              <w:rPr>
                <w:rFonts w:ascii="Arial" w:hAnsi="Arial" w:cs="Arial"/>
                <w:color w:val="000000" w:themeColor="text1"/>
              </w:rPr>
              <w:t>0</w:t>
            </w:r>
          </w:p>
        </w:tc>
        <w:tc>
          <w:tcPr>
            <w:tcW w:w="1445" w:type="dxa"/>
          </w:tcPr>
          <w:p w14:paraId="3294B6C2" w14:textId="31CAE47F" w:rsidR="00823EF8" w:rsidRPr="00A57738" w:rsidRDefault="000220D5" w:rsidP="00F20994">
            <w:pPr>
              <w:jc w:val="right"/>
              <w:rPr>
                <w:rFonts w:ascii="Arial" w:hAnsi="Arial" w:cs="Arial"/>
                <w:color w:val="000000" w:themeColor="text1"/>
              </w:rPr>
            </w:pPr>
            <w:r>
              <w:rPr>
                <w:rFonts w:ascii="Arial" w:hAnsi="Arial" w:cs="Arial"/>
                <w:color w:val="000000" w:themeColor="text1"/>
              </w:rPr>
              <w:t>603</w:t>
            </w:r>
            <w:r w:rsidR="00F0256F">
              <w:rPr>
                <w:rFonts w:ascii="Arial" w:hAnsi="Arial" w:cs="Arial"/>
                <w:color w:val="000000" w:themeColor="text1"/>
              </w:rPr>
              <w:t>,</w:t>
            </w:r>
            <w:r>
              <w:rPr>
                <w:rFonts w:ascii="Arial" w:hAnsi="Arial" w:cs="Arial"/>
                <w:color w:val="000000" w:themeColor="text1"/>
              </w:rPr>
              <w:t>1</w:t>
            </w:r>
          </w:p>
        </w:tc>
        <w:tc>
          <w:tcPr>
            <w:tcW w:w="1283" w:type="dxa"/>
          </w:tcPr>
          <w:p w14:paraId="0E33F44A" w14:textId="3FC8E399" w:rsidR="00823EF8" w:rsidRPr="000F721B" w:rsidRDefault="00FD59CC" w:rsidP="00F20994">
            <w:pPr>
              <w:jc w:val="right"/>
              <w:rPr>
                <w:rFonts w:ascii="Heiti SC" w:eastAsia="Heiti SC" w:hAnsi="Heiti SC" w:cs="Heiti SC"/>
                <w:color w:val="000000" w:themeColor="text1"/>
              </w:rPr>
            </w:pPr>
            <w:r>
              <w:rPr>
                <w:rFonts w:ascii="Arial" w:hAnsi="Arial" w:cs="Arial"/>
                <w:color w:val="000000" w:themeColor="text1"/>
              </w:rPr>
              <w:t>13,9</w:t>
            </w:r>
          </w:p>
        </w:tc>
      </w:tr>
      <w:tr w:rsidR="00F8086C" w14:paraId="41DA4E15" w14:textId="77777777" w:rsidTr="009E2CA8">
        <w:tc>
          <w:tcPr>
            <w:tcW w:w="1697" w:type="dxa"/>
          </w:tcPr>
          <w:p w14:paraId="37C64A17" w14:textId="6EF25F0E" w:rsidR="00F8086C" w:rsidRPr="008C0304" w:rsidRDefault="00F8086C" w:rsidP="00F20994">
            <w:pPr>
              <w:rPr>
                <w:rFonts w:ascii="Arial" w:hAnsi="Arial" w:cs="Arial"/>
              </w:rPr>
            </w:pPr>
            <w:proofErr w:type="spellStart"/>
            <w:r w:rsidRPr="008C0304">
              <w:rPr>
                <w:rFonts w:ascii="Arial" w:hAnsi="Arial" w:cs="Arial"/>
              </w:rPr>
              <w:t>Flyktingmott</w:t>
            </w:r>
            <w:proofErr w:type="spellEnd"/>
            <w:r w:rsidRPr="008C0304">
              <w:rPr>
                <w:rFonts w:ascii="Arial" w:hAnsi="Arial" w:cs="Arial"/>
              </w:rPr>
              <w:t>.</w:t>
            </w:r>
          </w:p>
        </w:tc>
        <w:tc>
          <w:tcPr>
            <w:tcW w:w="1086" w:type="dxa"/>
          </w:tcPr>
          <w:p w14:paraId="4D153310" w14:textId="63359DB6" w:rsidR="00F8086C" w:rsidRDefault="00F8086C" w:rsidP="00F20994">
            <w:pPr>
              <w:jc w:val="right"/>
              <w:rPr>
                <w:rFonts w:ascii="Arial" w:hAnsi="Arial" w:cs="Arial"/>
              </w:rPr>
            </w:pPr>
            <w:r>
              <w:rPr>
                <w:rFonts w:ascii="Arial" w:hAnsi="Arial" w:cs="Arial"/>
              </w:rPr>
              <w:t>0,0</w:t>
            </w:r>
          </w:p>
        </w:tc>
        <w:tc>
          <w:tcPr>
            <w:tcW w:w="1670" w:type="dxa"/>
          </w:tcPr>
          <w:p w14:paraId="4154DD6E" w14:textId="047E8334" w:rsidR="00F8086C" w:rsidRDefault="00F8086C" w:rsidP="00F20994">
            <w:pPr>
              <w:jc w:val="right"/>
              <w:rPr>
                <w:rFonts w:ascii="Arial" w:hAnsi="Arial" w:cs="Arial"/>
                <w:color w:val="000000" w:themeColor="text1"/>
              </w:rPr>
            </w:pPr>
            <w:r>
              <w:rPr>
                <w:rFonts w:ascii="Arial" w:hAnsi="Arial" w:cs="Arial"/>
                <w:color w:val="000000" w:themeColor="text1"/>
              </w:rPr>
              <w:t>-14</w:t>
            </w:r>
            <w:r w:rsidR="007C7B1E">
              <w:rPr>
                <w:rFonts w:ascii="Arial" w:hAnsi="Arial" w:cs="Arial"/>
                <w:color w:val="000000" w:themeColor="text1"/>
              </w:rPr>
              <w:t>,0</w:t>
            </w:r>
          </w:p>
        </w:tc>
        <w:tc>
          <w:tcPr>
            <w:tcW w:w="1190" w:type="dxa"/>
          </w:tcPr>
          <w:p w14:paraId="6FBF9F06" w14:textId="6EE28E6B" w:rsidR="00F8086C" w:rsidRDefault="007C7B1E" w:rsidP="00F20994">
            <w:pPr>
              <w:jc w:val="right"/>
              <w:rPr>
                <w:rFonts w:ascii="Arial" w:hAnsi="Arial" w:cs="Arial"/>
                <w:color w:val="000000" w:themeColor="text1"/>
              </w:rPr>
            </w:pPr>
            <w:r>
              <w:rPr>
                <w:rFonts w:ascii="Arial" w:hAnsi="Arial" w:cs="Arial"/>
                <w:color w:val="000000" w:themeColor="text1"/>
              </w:rPr>
              <w:t>-14,0</w:t>
            </w:r>
          </w:p>
        </w:tc>
        <w:tc>
          <w:tcPr>
            <w:tcW w:w="1445" w:type="dxa"/>
          </w:tcPr>
          <w:p w14:paraId="25448FC2" w14:textId="047C1DC3" w:rsidR="00F8086C" w:rsidRPr="00A57738" w:rsidRDefault="00916123" w:rsidP="00F20994">
            <w:pPr>
              <w:jc w:val="right"/>
              <w:rPr>
                <w:rFonts w:ascii="Arial" w:hAnsi="Arial" w:cs="Arial"/>
                <w:color w:val="000000" w:themeColor="text1"/>
              </w:rPr>
            </w:pPr>
            <w:r>
              <w:rPr>
                <w:rFonts w:ascii="Arial" w:hAnsi="Arial" w:cs="Arial"/>
                <w:color w:val="000000" w:themeColor="text1"/>
              </w:rPr>
              <w:t>-14</w:t>
            </w:r>
            <w:r w:rsidR="007C7B1E">
              <w:rPr>
                <w:rFonts w:ascii="Arial" w:hAnsi="Arial" w:cs="Arial"/>
                <w:color w:val="000000" w:themeColor="text1"/>
              </w:rPr>
              <w:t>,0</w:t>
            </w:r>
          </w:p>
        </w:tc>
        <w:tc>
          <w:tcPr>
            <w:tcW w:w="1283" w:type="dxa"/>
          </w:tcPr>
          <w:p w14:paraId="524BD294" w14:textId="288E7A56" w:rsidR="00F8086C" w:rsidRDefault="007C7B1E" w:rsidP="00F20994">
            <w:pPr>
              <w:jc w:val="right"/>
              <w:rPr>
                <w:rFonts w:ascii="Arial" w:hAnsi="Arial" w:cs="Arial"/>
                <w:color w:val="000000" w:themeColor="text1"/>
              </w:rPr>
            </w:pPr>
            <w:r>
              <w:rPr>
                <w:rFonts w:ascii="Arial" w:hAnsi="Arial" w:cs="Arial"/>
                <w:color w:val="000000" w:themeColor="text1"/>
              </w:rPr>
              <w:t>-14,0</w:t>
            </w:r>
          </w:p>
        </w:tc>
      </w:tr>
      <w:tr w:rsidR="00823EF8" w14:paraId="7858F3B5" w14:textId="77777777" w:rsidTr="009E2CA8">
        <w:tc>
          <w:tcPr>
            <w:tcW w:w="1697" w:type="dxa"/>
          </w:tcPr>
          <w:p w14:paraId="0ADFD79F" w14:textId="77777777" w:rsidR="00823EF8" w:rsidRPr="008C0304" w:rsidRDefault="00823EF8" w:rsidP="00F20994">
            <w:pPr>
              <w:rPr>
                <w:rFonts w:ascii="Arial" w:hAnsi="Arial" w:cs="Arial"/>
              </w:rPr>
            </w:pPr>
            <w:r w:rsidRPr="008C0304">
              <w:rPr>
                <w:rFonts w:ascii="Arial" w:hAnsi="Arial" w:cs="Arial"/>
              </w:rPr>
              <w:t xml:space="preserve">Omsorg om </w:t>
            </w:r>
            <w:proofErr w:type="spellStart"/>
            <w:r w:rsidRPr="008C0304">
              <w:rPr>
                <w:rFonts w:ascii="Arial" w:hAnsi="Arial" w:cs="Arial"/>
              </w:rPr>
              <w:t>funktionsh</w:t>
            </w:r>
            <w:proofErr w:type="spellEnd"/>
            <w:r w:rsidRPr="008C0304">
              <w:rPr>
                <w:rFonts w:ascii="Arial" w:hAnsi="Arial" w:cs="Arial"/>
              </w:rPr>
              <w:t>.</w:t>
            </w:r>
          </w:p>
        </w:tc>
        <w:tc>
          <w:tcPr>
            <w:tcW w:w="1086" w:type="dxa"/>
          </w:tcPr>
          <w:p w14:paraId="485F9BA5" w14:textId="1589B35D" w:rsidR="00823EF8" w:rsidRPr="007E0C93" w:rsidRDefault="00823EF8" w:rsidP="00F20994">
            <w:pPr>
              <w:jc w:val="right"/>
              <w:rPr>
                <w:rFonts w:ascii="Arial" w:hAnsi="Arial" w:cs="Arial"/>
              </w:rPr>
            </w:pPr>
            <w:r>
              <w:rPr>
                <w:rFonts w:ascii="Arial" w:hAnsi="Arial" w:cs="Arial"/>
              </w:rPr>
              <w:t xml:space="preserve">   </w:t>
            </w:r>
            <w:r w:rsidR="00AB5776">
              <w:rPr>
                <w:rFonts w:ascii="Arial" w:hAnsi="Arial" w:cs="Arial"/>
              </w:rPr>
              <w:t>268,9</w:t>
            </w:r>
          </w:p>
        </w:tc>
        <w:tc>
          <w:tcPr>
            <w:tcW w:w="1670" w:type="dxa"/>
          </w:tcPr>
          <w:p w14:paraId="16E2DB37" w14:textId="56A3C189" w:rsidR="00823EF8" w:rsidRPr="00A57738" w:rsidRDefault="00AB5776" w:rsidP="00F20994">
            <w:pPr>
              <w:jc w:val="right"/>
              <w:rPr>
                <w:rFonts w:ascii="Arial" w:hAnsi="Arial" w:cs="Arial"/>
                <w:color w:val="000000" w:themeColor="text1"/>
              </w:rPr>
            </w:pPr>
            <w:r>
              <w:rPr>
                <w:rFonts w:ascii="Arial" w:hAnsi="Arial" w:cs="Arial"/>
                <w:color w:val="000000" w:themeColor="text1"/>
              </w:rPr>
              <w:t xml:space="preserve">   280,0</w:t>
            </w:r>
          </w:p>
        </w:tc>
        <w:tc>
          <w:tcPr>
            <w:tcW w:w="1190" w:type="dxa"/>
          </w:tcPr>
          <w:p w14:paraId="18009165" w14:textId="157A86F1" w:rsidR="00823EF8" w:rsidRPr="00A57738" w:rsidRDefault="000D6E52" w:rsidP="00F20994">
            <w:pPr>
              <w:jc w:val="right"/>
              <w:rPr>
                <w:rFonts w:ascii="Arial" w:hAnsi="Arial" w:cs="Arial"/>
                <w:color w:val="000000" w:themeColor="text1"/>
              </w:rPr>
            </w:pPr>
            <w:r>
              <w:rPr>
                <w:rFonts w:ascii="Arial" w:hAnsi="Arial" w:cs="Arial"/>
                <w:color w:val="000000" w:themeColor="text1"/>
              </w:rPr>
              <w:t>11</w:t>
            </w:r>
            <w:r w:rsidR="00823EF8" w:rsidRPr="00A57738">
              <w:rPr>
                <w:rFonts w:ascii="Arial" w:hAnsi="Arial" w:cs="Arial"/>
                <w:color w:val="000000" w:themeColor="text1"/>
              </w:rPr>
              <w:t>,</w:t>
            </w:r>
            <w:r>
              <w:rPr>
                <w:rFonts w:ascii="Arial" w:hAnsi="Arial" w:cs="Arial"/>
                <w:color w:val="000000" w:themeColor="text1"/>
              </w:rPr>
              <w:t>1</w:t>
            </w:r>
          </w:p>
        </w:tc>
        <w:tc>
          <w:tcPr>
            <w:tcW w:w="1445" w:type="dxa"/>
          </w:tcPr>
          <w:p w14:paraId="68D67CF2" w14:textId="066655A2" w:rsidR="00823EF8" w:rsidRPr="00A57738" w:rsidRDefault="009E2CA8" w:rsidP="00F20994">
            <w:pPr>
              <w:jc w:val="right"/>
              <w:rPr>
                <w:rFonts w:ascii="Arial" w:hAnsi="Arial" w:cs="Arial"/>
                <w:color w:val="000000" w:themeColor="text1"/>
              </w:rPr>
            </w:pPr>
            <w:r>
              <w:rPr>
                <w:rFonts w:ascii="Arial" w:hAnsi="Arial" w:cs="Arial"/>
                <w:color w:val="000000" w:themeColor="text1"/>
              </w:rPr>
              <w:t>285,3</w:t>
            </w:r>
          </w:p>
        </w:tc>
        <w:tc>
          <w:tcPr>
            <w:tcW w:w="1283" w:type="dxa"/>
          </w:tcPr>
          <w:p w14:paraId="07844508" w14:textId="21F118CB" w:rsidR="00823EF8" w:rsidRPr="00A57738" w:rsidRDefault="000C0D35" w:rsidP="00F20994">
            <w:pPr>
              <w:jc w:val="right"/>
              <w:rPr>
                <w:rFonts w:ascii="Arial" w:hAnsi="Arial" w:cs="Arial"/>
                <w:color w:val="000000" w:themeColor="text1"/>
              </w:rPr>
            </w:pPr>
            <w:r>
              <w:rPr>
                <w:rFonts w:ascii="Arial" w:hAnsi="Arial" w:cs="Arial"/>
                <w:color w:val="000000" w:themeColor="text1"/>
              </w:rPr>
              <w:t>16</w:t>
            </w:r>
            <w:r w:rsidR="00823EF8" w:rsidRPr="00A57738">
              <w:rPr>
                <w:rFonts w:ascii="Arial" w:hAnsi="Arial" w:cs="Arial"/>
                <w:color w:val="000000" w:themeColor="text1"/>
              </w:rPr>
              <w:t>,4</w:t>
            </w:r>
          </w:p>
        </w:tc>
      </w:tr>
      <w:tr w:rsidR="00823EF8" w14:paraId="7AF9E01E" w14:textId="77777777" w:rsidTr="009E2CA8">
        <w:trPr>
          <w:trHeight w:val="600"/>
        </w:trPr>
        <w:tc>
          <w:tcPr>
            <w:tcW w:w="1697" w:type="dxa"/>
          </w:tcPr>
          <w:p w14:paraId="078A629D" w14:textId="77777777" w:rsidR="00823EF8" w:rsidRPr="008C0304" w:rsidRDefault="00823EF8" w:rsidP="00F20994">
            <w:pPr>
              <w:rPr>
                <w:rFonts w:ascii="Arial" w:hAnsi="Arial" w:cs="Arial"/>
              </w:rPr>
            </w:pPr>
            <w:r w:rsidRPr="008C0304">
              <w:rPr>
                <w:rFonts w:ascii="Arial" w:hAnsi="Arial" w:cs="Arial"/>
              </w:rPr>
              <w:t xml:space="preserve">Individ- och </w:t>
            </w:r>
            <w:proofErr w:type="spellStart"/>
            <w:r w:rsidRPr="008C0304">
              <w:rPr>
                <w:rFonts w:ascii="Arial" w:hAnsi="Arial" w:cs="Arial"/>
              </w:rPr>
              <w:t>familjeoms</w:t>
            </w:r>
            <w:proofErr w:type="spellEnd"/>
            <w:r w:rsidRPr="008C0304">
              <w:rPr>
                <w:rFonts w:ascii="Arial" w:hAnsi="Arial" w:cs="Arial"/>
              </w:rPr>
              <w:t>.</w:t>
            </w:r>
          </w:p>
        </w:tc>
        <w:tc>
          <w:tcPr>
            <w:tcW w:w="1086" w:type="dxa"/>
          </w:tcPr>
          <w:p w14:paraId="62F5DE40" w14:textId="0362BF8F" w:rsidR="00823EF8" w:rsidRPr="007E0C93" w:rsidRDefault="00823EF8" w:rsidP="00F20994">
            <w:pPr>
              <w:jc w:val="right"/>
              <w:rPr>
                <w:rFonts w:ascii="Arial" w:hAnsi="Arial" w:cs="Arial"/>
              </w:rPr>
            </w:pPr>
            <w:r>
              <w:rPr>
                <w:rFonts w:ascii="Arial" w:hAnsi="Arial" w:cs="Arial"/>
              </w:rPr>
              <w:t xml:space="preserve">   </w:t>
            </w:r>
            <w:r w:rsidR="00AB5776">
              <w:rPr>
                <w:rFonts w:ascii="Arial" w:hAnsi="Arial" w:cs="Arial"/>
              </w:rPr>
              <w:t>175,5</w:t>
            </w:r>
          </w:p>
        </w:tc>
        <w:tc>
          <w:tcPr>
            <w:tcW w:w="1670" w:type="dxa"/>
          </w:tcPr>
          <w:p w14:paraId="0D5C2674" w14:textId="790D696B" w:rsidR="00823EF8" w:rsidRPr="00A57738" w:rsidRDefault="00AB5776" w:rsidP="00F20994">
            <w:pPr>
              <w:jc w:val="right"/>
              <w:rPr>
                <w:rFonts w:ascii="Arial" w:hAnsi="Arial" w:cs="Arial"/>
                <w:color w:val="000000" w:themeColor="text1"/>
              </w:rPr>
            </w:pPr>
            <w:r>
              <w:rPr>
                <w:rFonts w:ascii="Arial" w:hAnsi="Arial" w:cs="Arial"/>
                <w:color w:val="000000" w:themeColor="text1"/>
              </w:rPr>
              <w:t xml:space="preserve">   181,0</w:t>
            </w:r>
          </w:p>
        </w:tc>
        <w:tc>
          <w:tcPr>
            <w:tcW w:w="1190" w:type="dxa"/>
          </w:tcPr>
          <w:p w14:paraId="233BE485" w14:textId="6FC34233" w:rsidR="00823EF8" w:rsidRPr="00A57738" w:rsidRDefault="000D6E52" w:rsidP="00F20994">
            <w:pPr>
              <w:jc w:val="right"/>
              <w:rPr>
                <w:rFonts w:ascii="Arial" w:hAnsi="Arial" w:cs="Arial"/>
                <w:color w:val="000000" w:themeColor="text1"/>
              </w:rPr>
            </w:pPr>
            <w:r>
              <w:rPr>
                <w:rFonts w:ascii="Arial" w:hAnsi="Arial" w:cs="Arial"/>
                <w:color w:val="000000" w:themeColor="text1"/>
              </w:rPr>
              <w:t>5</w:t>
            </w:r>
            <w:r w:rsidR="00823EF8" w:rsidRPr="00A57738">
              <w:rPr>
                <w:rFonts w:ascii="Arial" w:hAnsi="Arial" w:cs="Arial"/>
                <w:color w:val="000000" w:themeColor="text1"/>
              </w:rPr>
              <w:t>,</w:t>
            </w:r>
            <w:r>
              <w:rPr>
                <w:rFonts w:ascii="Arial" w:hAnsi="Arial" w:cs="Arial"/>
                <w:color w:val="000000" w:themeColor="text1"/>
              </w:rPr>
              <w:t>5</w:t>
            </w:r>
          </w:p>
        </w:tc>
        <w:tc>
          <w:tcPr>
            <w:tcW w:w="1445" w:type="dxa"/>
          </w:tcPr>
          <w:p w14:paraId="4BBA7485" w14:textId="614FE9D3" w:rsidR="00823EF8" w:rsidRPr="00A57738" w:rsidRDefault="009E2CA8" w:rsidP="00F20994">
            <w:pPr>
              <w:jc w:val="right"/>
              <w:rPr>
                <w:rFonts w:ascii="Arial" w:hAnsi="Arial" w:cs="Arial"/>
                <w:color w:val="000000" w:themeColor="text1"/>
              </w:rPr>
            </w:pPr>
            <w:r>
              <w:rPr>
                <w:rFonts w:ascii="Arial" w:hAnsi="Arial" w:cs="Arial"/>
                <w:color w:val="000000" w:themeColor="text1"/>
              </w:rPr>
              <w:t>185</w:t>
            </w:r>
            <w:r w:rsidR="00823EF8" w:rsidRPr="00A57738">
              <w:rPr>
                <w:rFonts w:ascii="Arial" w:hAnsi="Arial" w:cs="Arial"/>
                <w:color w:val="000000" w:themeColor="text1"/>
              </w:rPr>
              <w:t>,</w:t>
            </w:r>
            <w:r w:rsidR="00622A0F">
              <w:rPr>
                <w:rFonts w:ascii="Arial" w:hAnsi="Arial" w:cs="Arial"/>
                <w:color w:val="000000" w:themeColor="text1"/>
              </w:rPr>
              <w:t>4</w:t>
            </w:r>
          </w:p>
        </w:tc>
        <w:tc>
          <w:tcPr>
            <w:tcW w:w="1283" w:type="dxa"/>
          </w:tcPr>
          <w:p w14:paraId="4B14E09E" w14:textId="53F6A422" w:rsidR="00823EF8" w:rsidRPr="00A57738" w:rsidRDefault="00771937" w:rsidP="00F20994">
            <w:pPr>
              <w:jc w:val="right"/>
              <w:rPr>
                <w:rFonts w:ascii="Arial" w:hAnsi="Arial" w:cs="Arial"/>
                <w:color w:val="000000" w:themeColor="text1"/>
              </w:rPr>
            </w:pPr>
            <w:r>
              <w:rPr>
                <w:rFonts w:ascii="Arial" w:hAnsi="Arial" w:cs="Arial"/>
                <w:color w:val="000000" w:themeColor="text1"/>
              </w:rPr>
              <w:t>9</w:t>
            </w:r>
            <w:r w:rsidR="000C0D35">
              <w:rPr>
                <w:rFonts w:ascii="Arial" w:hAnsi="Arial" w:cs="Arial"/>
                <w:color w:val="000000" w:themeColor="text1"/>
              </w:rPr>
              <w:t>,</w:t>
            </w:r>
            <w:r w:rsidR="00622A0F">
              <w:rPr>
                <w:rFonts w:ascii="Arial" w:hAnsi="Arial" w:cs="Arial"/>
                <w:color w:val="000000" w:themeColor="text1"/>
              </w:rPr>
              <w:t>9</w:t>
            </w:r>
          </w:p>
        </w:tc>
      </w:tr>
      <w:tr w:rsidR="00823EF8" w14:paraId="31AB61B9" w14:textId="77777777" w:rsidTr="009E2CA8">
        <w:trPr>
          <w:trHeight w:val="584"/>
        </w:trPr>
        <w:tc>
          <w:tcPr>
            <w:tcW w:w="1697" w:type="dxa"/>
          </w:tcPr>
          <w:p w14:paraId="33AE8467" w14:textId="1736C7A6" w:rsidR="00823EF8" w:rsidRPr="008C0304" w:rsidRDefault="00823EF8" w:rsidP="00F20994">
            <w:pPr>
              <w:rPr>
                <w:rFonts w:ascii="Arial" w:hAnsi="Arial" w:cs="Arial"/>
              </w:rPr>
            </w:pPr>
            <w:r w:rsidRPr="008C0304">
              <w:rPr>
                <w:rFonts w:ascii="Arial" w:hAnsi="Arial" w:cs="Arial"/>
              </w:rPr>
              <w:t>Stadsmiljö</w:t>
            </w:r>
            <w:r w:rsidR="00190C66" w:rsidRPr="008C0304">
              <w:rPr>
                <w:rFonts w:ascii="Arial" w:hAnsi="Arial" w:cs="Arial"/>
              </w:rPr>
              <w:t xml:space="preserve">     -</w:t>
            </w:r>
            <w:r w:rsidR="00190C66" w:rsidRPr="008C0304">
              <w:rPr>
                <w:rFonts w:ascii="Arial" w:hAnsi="Arial" w:cs="Arial"/>
                <w:i/>
              </w:rPr>
              <w:t>Avskrivning</w:t>
            </w:r>
          </w:p>
        </w:tc>
        <w:tc>
          <w:tcPr>
            <w:tcW w:w="1086" w:type="dxa"/>
          </w:tcPr>
          <w:p w14:paraId="52BAB5E6" w14:textId="0823ECC5" w:rsidR="00823EF8" w:rsidRPr="002158F8" w:rsidRDefault="00AB5776" w:rsidP="002158F8">
            <w:pPr>
              <w:jc w:val="right"/>
              <w:rPr>
                <w:rFonts w:ascii="Arial" w:hAnsi="Arial" w:cs="Arial"/>
              </w:rPr>
            </w:pPr>
            <w:r>
              <w:rPr>
                <w:rFonts w:ascii="Arial" w:hAnsi="Arial" w:cs="Arial"/>
              </w:rPr>
              <w:t xml:space="preserve">     20,6</w:t>
            </w:r>
            <w:r w:rsidR="002158F8">
              <w:rPr>
                <w:rFonts w:ascii="Arial" w:hAnsi="Arial" w:cs="Arial"/>
                <w:i/>
              </w:rPr>
              <w:t xml:space="preserve">   </w:t>
            </w:r>
            <w:r w:rsidR="00F64FCA">
              <w:rPr>
                <w:rFonts w:ascii="Arial" w:hAnsi="Arial" w:cs="Arial"/>
                <w:i/>
              </w:rPr>
              <w:t xml:space="preserve">      </w:t>
            </w:r>
          </w:p>
        </w:tc>
        <w:tc>
          <w:tcPr>
            <w:tcW w:w="1670" w:type="dxa"/>
          </w:tcPr>
          <w:p w14:paraId="0A4E4139" w14:textId="7AED59A9" w:rsidR="00823EF8" w:rsidRPr="00A57738" w:rsidRDefault="00AB5776" w:rsidP="002158F8">
            <w:pPr>
              <w:jc w:val="right"/>
              <w:rPr>
                <w:rFonts w:ascii="Arial" w:hAnsi="Arial" w:cs="Arial"/>
                <w:color w:val="000000" w:themeColor="text1"/>
              </w:rPr>
            </w:pPr>
            <w:r>
              <w:rPr>
                <w:rFonts w:ascii="Arial" w:hAnsi="Arial" w:cs="Arial"/>
                <w:color w:val="000000" w:themeColor="text1"/>
              </w:rPr>
              <w:t xml:space="preserve">     23,0</w:t>
            </w:r>
          </w:p>
        </w:tc>
        <w:tc>
          <w:tcPr>
            <w:tcW w:w="1190" w:type="dxa"/>
          </w:tcPr>
          <w:p w14:paraId="7728E811" w14:textId="64420EA0" w:rsidR="00823EF8" w:rsidRPr="00A57738" w:rsidRDefault="00823EF8" w:rsidP="00F20994">
            <w:pPr>
              <w:jc w:val="right"/>
              <w:rPr>
                <w:rFonts w:ascii="Arial" w:hAnsi="Arial" w:cs="Arial"/>
                <w:color w:val="000000" w:themeColor="text1"/>
              </w:rPr>
            </w:pPr>
            <w:r w:rsidRPr="00A57738">
              <w:rPr>
                <w:rFonts w:ascii="Arial" w:hAnsi="Arial" w:cs="Arial"/>
                <w:color w:val="000000" w:themeColor="text1"/>
              </w:rPr>
              <w:t>2,</w:t>
            </w:r>
            <w:r w:rsidR="000D6E52">
              <w:rPr>
                <w:rFonts w:ascii="Arial" w:hAnsi="Arial" w:cs="Arial"/>
                <w:color w:val="000000" w:themeColor="text1"/>
              </w:rPr>
              <w:t>4</w:t>
            </w:r>
          </w:p>
        </w:tc>
        <w:tc>
          <w:tcPr>
            <w:tcW w:w="1445" w:type="dxa"/>
          </w:tcPr>
          <w:p w14:paraId="775BD580" w14:textId="77777777" w:rsidR="00823EF8" w:rsidRPr="00A57738" w:rsidRDefault="00823EF8" w:rsidP="00F20994">
            <w:pPr>
              <w:jc w:val="right"/>
              <w:rPr>
                <w:rFonts w:ascii="Arial" w:hAnsi="Arial" w:cs="Arial"/>
                <w:color w:val="000000" w:themeColor="text1"/>
              </w:rPr>
            </w:pPr>
            <w:r w:rsidRPr="00A57738">
              <w:rPr>
                <w:rFonts w:ascii="Arial" w:hAnsi="Arial" w:cs="Arial"/>
                <w:color w:val="000000" w:themeColor="text1"/>
              </w:rPr>
              <w:t>22,9</w:t>
            </w:r>
          </w:p>
          <w:p w14:paraId="283EDE36" w14:textId="265A1161" w:rsidR="00823EF8" w:rsidRPr="00A57738" w:rsidRDefault="00823EF8" w:rsidP="00F20994">
            <w:pPr>
              <w:jc w:val="right"/>
              <w:rPr>
                <w:rFonts w:ascii="Arial" w:hAnsi="Arial" w:cs="Arial"/>
                <w:color w:val="000000" w:themeColor="text1"/>
              </w:rPr>
            </w:pPr>
          </w:p>
        </w:tc>
        <w:tc>
          <w:tcPr>
            <w:tcW w:w="1283" w:type="dxa"/>
          </w:tcPr>
          <w:p w14:paraId="0EDF9031" w14:textId="348E0A8D" w:rsidR="00823EF8" w:rsidRPr="00A57738" w:rsidRDefault="007C7B1E" w:rsidP="00F20994">
            <w:pPr>
              <w:jc w:val="right"/>
              <w:rPr>
                <w:rFonts w:ascii="Arial" w:hAnsi="Arial" w:cs="Arial"/>
                <w:color w:val="000000" w:themeColor="text1"/>
              </w:rPr>
            </w:pPr>
            <w:r>
              <w:rPr>
                <w:rFonts w:ascii="Arial" w:hAnsi="Arial" w:cs="Arial"/>
                <w:color w:val="000000" w:themeColor="text1"/>
              </w:rPr>
              <w:t>2</w:t>
            </w:r>
            <w:r w:rsidR="00A6564C">
              <w:rPr>
                <w:rFonts w:ascii="Arial" w:hAnsi="Arial" w:cs="Arial"/>
                <w:color w:val="000000" w:themeColor="text1"/>
              </w:rPr>
              <w:t>,</w:t>
            </w:r>
            <w:r>
              <w:rPr>
                <w:rFonts w:ascii="Arial" w:hAnsi="Arial" w:cs="Arial"/>
                <w:color w:val="000000" w:themeColor="text1"/>
              </w:rPr>
              <w:t>3</w:t>
            </w:r>
          </w:p>
        </w:tc>
      </w:tr>
      <w:tr w:rsidR="00823EF8" w14:paraId="07EDAA9F" w14:textId="77777777" w:rsidTr="009E2CA8">
        <w:tc>
          <w:tcPr>
            <w:tcW w:w="1697" w:type="dxa"/>
          </w:tcPr>
          <w:p w14:paraId="16D0B958" w14:textId="77777777" w:rsidR="00823EF8" w:rsidRPr="008C0304" w:rsidRDefault="00823EF8" w:rsidP="00F20994">
            <w:pPr>
              <w:rPr>
                <w:rFonts w:ascii="Arial" w:hAnsi="Arial" w:cs="Arial"/>
              </w:rPr>
            </w:pPr>
            <w:proofErr w:type="spellStart"/>
            <w:r w:rsidRPr="008C0304">
              <w:rPr>
                <w:rFonts w:ascii="Arial" w:hAnsi="Arial" w:cs="Arial"/>
              </w:rPr>
              <w:t>Ek.bistånd</w:t>
            </w:r>
            <w:proofErr w:type="spellEnd"/>
          </w:p>
        </w:tc>
        <w:tc>
          <w:tcPr>
            <w:tcW w:w="1086" w:type="dxa"/>
          </w:tcPr>
          <w:p w14:paraId="60633537" w14:textId="6DEAB58F" w:rsidR="00823EF8" w:rsidRPr="007E0C93" w:rsidRDefault="00823EF8" w:rsidP="00F20994">
            <w:pPr>
              <w:jc w:val="right"/>
              <w:rPr>
                <w:rFonts w:ascii="Arial" w:hAnsi="Arial" w:cs="Arial"/>
              </w:rPr>
            </w:pPr>
            <w:r>
              <w:rPr>
                <w:rFonts w:ascii="Arial" w:hAnsi="Arial" w:cs="Arial"/>
              </w:rPr>
              <w:t xml:space="preserve">   </w:t>
            </w:r>
            <w:r w:rsidR="00AB5776">
              <w:rPr>
                <w:rFonts w:ascii="Arial" w:hAnsi="Arial" w:cs="Arial"/>
              </w:rPr>
              <w:t>96,8</w:t>
            </w:r>
          </w:p>
        </w:tc>
        <w:tc>
          <w:tcPr>
            <w:tcW w:w="1670" w:type="dxa"/>
          </w:tcPr>
          <w:p w14:paraId="58FD6D6C" w14:textId="3200CAB5" w:rsidR="00823EF8" w:rsidRPr="00A57738" w:rsidRDefault="00AB5776" w:rsidP="00F20994">
            <w:pPr>
              <w:jc w:val="right"/>
              <w:rPr>
                <w:rFonts w:ascii="Arial" w:hAnsi="Arial" w:cs="Arial"/>
                <w:color w:val="000000" w:themeColor="text1"/>
              </w:rPr>
            </w:pPr>
            <w:r>
              <w:rPr>
                <w:rFonts w:ascii="Arial" w:hAnsi="Arial" w:cs="Arial"/>
                <w:color w:val="000000" w:themeColor="text1"/>
              </w:rPr>
              <w:t xml:space="preserve">   97,6</w:t>
            </w:r>
          </w:p>
        </w:tc>
        <w:tc>
          <w:tcPr>
            <w:tcW w:w="1190" w:type="dxa"/>
          </w:tcPr>
          <w:p w14:paraId="0D5BBE66" w14:textId="77777777" w:rsidR="00823EF8" w:rsidRPr="00A57738" w:rsidRDefault="00823EF8" w:rsidP="00F20994">
            <w:pPr>
              <w:jc w:val="right"/>
              <w:rPr>
                <w:rFonts w:ascii="Arial" w:hAnsi="Arial" w:cs="Arial"/>
                <w:color w:val="000000" w:themeColor="text1"/>
              </w:rPr>
            </w:pPr>
            <w:r w:rsidRPr="00A57738">
              <w:rPr>
                <w:rFonts w:ascii="Arial" w:hAnsi="Arial" w:cs="Arial"/>
                <w:color w:val="000000" w:themeColor="text1"/>
              </w:rPr>
              <w:t>0,8</w:t>
            </w:r>
          </w:p>
        </w:tc>
        <w:tc>
          <w:tcPr>
            <w:tcW w:w="1445" w:type="dxa"/>
          </w:tcPr>
          <w:p w14:paraId="13A413B1" w14:textId="2D66D3F4" w:rsidR="00823EF8" w:rsidRPr="00A57738" w:rsidRDefault="007A7701" w:rsidP="00F20994">
            <w:pPr>
              <w:jc w:val="right"/>
              <w:rPr>
                <w:rFonts w:ascii="Arial" w:hAnsi="Arial" w:cs="Arial"/>
                <w:color w:val="000000" w:themeColor="text1"/>
              </w:rPr>
            </w:pPr>
            <w:r>
              <w:rPr>
                <w:rFonts w:ascii="Arial" w:hAnsi="Arial" w:cs="Arial"/>
                <w:color w:val="000000" w:themeColor="text1"/>
              </w:rPr>
              <w:t>98</w:t>
            </w:r>
            <w:r w:rsidR="00823EF8" w:rsidRPr="00A57738">
              <w:rPr>
                <w:rFonts w:ascii="Arial" w:hAnsi="Arial" w:cs="Arial"/>
                <w:color w:val="000000" w:themeColor="text1"/>
              </w:rPr>
              <w:t>,</w:t>
            </w:r>
            <w:r>
              <w:rPr>
                <w:rFonts w:ascii="Arial" w:hAnsi="Arial" w:cs="Arial"/>
                <w:color w:val="000000" w:themeColor="text1"/>
              </w:rPr>
              <w:t>4</w:t>
            </w:r>
          </w:p>
        </w:tc>
        <w:tc>
          <w:tcPr>
            <w:tcW w:w="1283" w:type="dxa"/>
          </w:tcPr>
          <w:p w14:paraId="18942F77" w14:textId="1DF5163D" w:rsidR="00823EF8" w:rsidRPr="00A57738" w:rsidRDefault="001E0C20" w:rsidP="00F20994">
            <w:pPr>
              <w:jc w:val="right"/>
              <w:rPr>
                <w:rFonts w:ascii="Arial" w:hAnsi="Arial" w:cs="Arial"/>
                <w:color w:val="000000" w:themeColor="text1"/>
              </w:rPr>
            </w:pPr>
            <w:r>
              <w:rPr>
                <w:rFonts w:ascii="Arial" w:hAnsi="Arial" w:cs="Arial"/>
                <w:color w:val="000000" w:themeColor="text1"/>
              </w:rPr>
              <w:t>1,6</w:t>
            </w:r>
          </w:p>
        </w:tc>
      </w:tr>
      <w:tr w:rsidR="00823EF8" w14:paraId="079CB240" w14:textId="77777777" w:rsidTr="009E2CA8">
        <w:tc>
          <w:tcPr>
            <w:tcW w:w="1697" w:type="dxa"/>
          </w:tcPr>
          <w:p w14:paraId="43B746B1" w14:textId="77777777" w:rsidR="00823EF8" w:rsidRPr="008C0304" w:rsidRDefault="00823EF8" w:rsidP="00F20994">
            <w:pPr>
              <w:rPr>
                <w:rFonts w:ascii="Arial" w:hAnsi="Arial" w:cs="Arial"/>
              </w:rPr>
            </w:pPr>
            <w:proofErr w:type="spellStart"/>
            <w:r w:rsidRPr="008C0304">
              <w:rPr>
                <w:rFonts w:ascii="Arial" w:hAnsi="Arial" w:cs="Arial"/>
              </w:rPr>
              <w:t>Arbetsmarkn</w:t>
            </w:r>
            <w:proofErr w:type="spellEnd"/>
            <w:r w:rsidRPr="008C0304">
              <w:rPr>
                <w:rFonts w:ascii="Arial" w:hAnsi="Arial" w:cs="Arial"/>
              </w:rPr>
              <w:t>.</w:t>
            </w:r>
          </w:p>
        </w:tc>
        <w:tc>
          <w:tcPr>
            <w:tcW w:w="1086" w:type="dxa"/>
          </w:tcPr>
          <w:p w14:paraId="691FBF3A" w14:textId="77AB959F" w:rsidR="00823EF8" w:rsidRPr="007E0C93" w:rsidRDefault="00823EF8" w:rsidP="00F20994">
            <w:pPr>
              <w:jc w:val="right"/>
              <w:rPr>
                <w:rFonts w:ascii="Arial" w:hAnsi="Arial" w:cs="Arial"/>
              </w:rPr>
            </w:pPr>
            <w:r>
              <w:rPr>
                <w:rFonts w:ascii="Arial" w:hAnsi="Arial" w:cs="Arial"/>
              </w:rPr>
              <w:t xml:space="preserve">     </w:t>
            </w:r>
            <w:r w:rsidR="00AB5776">
              <w:rPr>
                <w:rFonts w:ascii="Arial" w:hAnsi="Arial" w:cs="Arial"/>
              </w:rPr>
              <w:t>16,5</w:t>
            </w:r>
          </w:p>
        </w:tc>
        <w:tc>
          <w:tcPr>
            <w:tcW w:w="1670" w:type="dxa"/>
          </w:tcPr>
          <w:p w14:paraId="01F8067D" w14:textId="47ACEA8B" w:rsidR="00823EF8" w:rsidRPr="00A57738" w:rsidRDefault="00AB5776" w:rsidP="00F20994">
            <w:pPr>
              <w:jc w:val="right"/>
              <w:rPr>
                <w:rFonts w:ascii="Arial" w:hAnsi="Arial" w:cs="Arial"/>
                <w:color w:val="000000" w:themeColor="text1"/>
              </w:rPr>
            </w:pPr>
            <w:r>
              <w:rPr>
                <w:rFonts w:ascii="Arial" w:hAnsi="Arial" w:cs="Arial"/>
                <w:color w:val="000000" w:themeColor="text1"/>
              </w:rPr>
              <w:t xml:space="preserve">     16,3</w:t>
            </w:r>
          </w:p>
        </w:tc>
        <w:tc>
          <w:tcPr>
            <w:tcW w:w="1190" w:type="dxa"/>
          </w:tcPr>
          <w:p w14:paraId="231DAAE6" w14:textId="77777777" w:rsidR="00823EF8" w:rsidRPr="00A57738" w:rsidRDefault="00823EF8" w:rsidP="00F20994">
            <w:pPr>
              <w:jc w:val="right"/>
              <w:rPr>
                <w:rFonts w:ascii="Arial" w:hAnsi="Arial" w:cs="Arial"/>
                <w:color w:val="000000" w:themeColor="text1"/>
              </w:rPr>
            </w:pPr>
            <w:r w:rsidRPr="00A57738">
              <w:rPr>
                <w:rFonts w:ascii="Arial" w:hAnsi="Arial" w:cs="Arial"/>
                <w:color w:val="000000" w:themeColor="text1"/>
              </w:rPr>
              <w:t>-0,2</w:t>
            </w:r>
          </w:p>
        </w:tc>
        <w:tc>
          <w:tcPr>
            <w:tcW w:w="1445" w:type="dxa"/>
          </w:tcPr>
          <w:p w14:paraId="443209F5" w14:textId="02FC0748" w:rsidR="00823EF8" w:rsidRPr="00A57738" w:rsidRDefault="007A7701" w:rsidP="00F20994">
            <w:pPr>
              <w:jc w:val="right"/>
              <w:rPr>
                <w:rFonts w:ascii="Arial" w:hAnsi="Arial" w:cs="Arial"/>
                <w:color w:val="000000" w:themeColor="text1"/>
              </w:rPr>
            </w:pPr>
            <w:r>
              <w:rPr>
                <w:rFonts w:ascii="Arial" w:hAnsi="Arial" w:cs="Arial"/>
                <w:color w:val="000000" w:themeColor="text1"/>
              </w:rPr>
              <w:t>17</w:t>
            </w:r>
            <w:r w:rsidR="00823EF8" w:rsidRPr="00A57738">
              <w:rPr>
                <w:rFonts w:ascii="Arial" w:hAnsi="Arial" w:cs="Arial"/>
                <w:color w:val="000000" w:themeColor="text1"/>
              </w:rPr>
              <w:t>,</w:t>
            </w:r>
            <w:r>
              <w:rPr>
                <w:rFonts w:ascii="Arial" w:hAnsi="Arial" w:cs="Arial"/>
                <w:color w:val="000000" w:themeColor="text1"/>
              </w:rPr>
              <w:t>1</w:t>
            </w:r>
          </w:p>
        </w:tc>
        <w:tc>
          <w:tcPr>
            <w:tcW w:w="1283" w:type="dxa"/>
          </w:tcPr>
          <w:p w14:paraId="4EB4C2A9" w14:textId="66D7DDB5" w:rsidR="00823EF8" w:rsidRPr="00A57738" w:rsidRDefault="00823EF8" w:rsidP="00F20994">
            <w:pPr>
              <w:jc w:val="right"/>
              <w:rPr>
                <w:rFonts w:ascii="Arial" w:hAnsi="Arial" w:cs="Arial"/>
                <w:color w:val="000000" w:themeColor="text1"/>
              </w:rPr>
            </w:pPr>
            <w:r w:rsidRPr="00A57738">
              <w:rPr>
                <w:rFonts w:ascii="Arial" w:hAnsi="Arial" w:cs="Arial"/>
                <w:color w:val="000000" w:themeColor="text1"/>
              </w:rPr>
              <w:t>0,</w:t>
            </w:r>
            <w:r w:rsidR="00A6564C">
              <w:rPr>
                <w:rFonts w:ascii="Arial" w:hAnsi="Arial" w:cs="Arial"/>
                <w:color w:val="000000" w:themeColor="text1"/>
              </w:rPr>
              <w:t>6</w:t>
            </w:r>
          </w:p>
        </w:tc>
      </w:tr>
      <w:tr w:rsidR="00823EF8" w14:paraId="2565B507" w14:textId="77777777" w:rsidTr="009E2CA8">
        <w:tc>
          <w:tcPr>
            <w:tcW w:w="1697" w:type="dxa"/>
          </w:tcPr>
          <w:p w14:paraId="216F0776" w14:textId="77777777" w:rsidR="00823EF8" w:rsidRDefault="00823EF8" w:rsidP="00F20994">
            <w:pPr>
              <w:rPr>
                <w:rFonts w:ascii="Arial" w:hAnsi="Arial" w:cs="Arial"/>
                <w:b/>
              </w:rPr>
            </w:pPr>
            <w:r>
              <w:rPr>
                <w:rFonts w:ascii="Arial" w:hAnsi="Arial" w:cs="Arial"/>
                <w:b/>
              </w:rPr>
              <w:t>Totalt</w:t>
            </w:r>
          </w:p>
        </w:tc>
        <w:tc>
          <w:tcPr>
            <w:tcW w:w="1086" w:type="dxa"/>
          </w:tcPr>
          <w:p w14:paraId="3B7DF4E9" w14:textId="77777777" w:rsidR="00823EF8" w:rsidRDefault="00823EF8" w:rsidP="00F20994">
            <w:pPr>
              <w:jc w:val="right"/>
              <w:rPr>
                <w:rFonts w:ascii="Arial" w:hAnsi="Arial" w:cs="Arial"/>
                <w:b/>
              </w:rPr>
            </w:pPr>
            <w:r>
              <w:rPr>
                <w:rFonts w:ascii="Arial" w:hAnsi="Arial" w:cs="Arial"/>
                <w:b/>
              </w:rPr>
              <w:t>1 577,4</w:t>
            </w:r>
          </w:p>
        </w:tc>
        <w:tc>
          <w:tcPr>
            <w:tcW w:w="1670" w:type="dxa"/>
          </w:tcPr>
          <w:p w14:paraId="6A296D94" w14:textId="77777777" w:rsidR="00823EF8" w:rsidRPr="00A57738" w:rsidRDefault="00823EF8" w:rsidP="00F20994">
            <w:pPr>
              <w:jc w:val="right"/>
              <w:rPr>
                <w:rFonts w:ascii="Arial" w:hAnsi="Arial" w:cs="Arial"/>
                <w:b/>
                <w:color w:val="000000" w:themeColor="text1"/>
              </w:rPr>
            </w:pPr>
            <w:r w:rsidRPr="00A57738">
              <w:rPr>
                <w:rFonts w:ascii="Arial" w:hAnsi="Arial" w:cs="Arial"/>
                <w:b/>
                <w:color w:val="000000" w:themeColor="text1"/>
              </w:rPr>
              <w:t>1 602,8</w:t>
            </w:r>
          </w:p>
        </w:tc>
        <w:tc>
          <w:tcPr>
            <w:tcW w:w="1190" w:type="dxa"/>
          </w:tcPr>
          <w:p w14:paraId="525DA5EC" w14:textId="77777777" w:rsidR="00823EF8" w:rsidRPr="00A57738" w:rsidRDefault="00823EF8" w:rsidP="00F20994">
            <w:pPr>
              <w:jc w:val="right"/>
              <w:rPr>
                <w:rFonts w:ascii="Arial" w:hAnsi="Arial" w:cs="Arial"/>
                <w:b/>
                <w:color w:val="000000" w:themeColor="text1"/>
              </w:rPr>
            </w:pPr>
            <w:r w:rsidRPr="00A57738">
              <w:rPr>
                <w:rFonts w:ascii="Arial" w:hAnsi="Arial" w:cs="Arial"/>
                <w:b/>
                <w:color w:val="000000" w:themeColor="text1"/>
              </w:rPr>
              <w:t>25,4</w:t>
            </w:r>
          </w:p>
        </w:tc>
        <w:tc>
          <w:tcPr>
            <w:tcW w:w="1445" w:type="dxa"/>
          </w:tcPr>
          <w:p w14:paraId="6DB342CC" w14:textId="77777777" w:rsidR="00823EF8" w:rsidRPr="00A57738" w:rsidRDefault="00823EF8" w:rsidP="00F20994">
            <w:pPr>
              <w:jc w:val="right"/>
              <w:rPr>
                <w:rFonts w:ascii="Arial" w:hAnsi="Arial" w:cs="Arial"/>
                <w:b/>
                <w:color w:val="000000" w:themeColor="text1"/>
              </w:rPr>
            </w:pPr>
            <w:r w:rsidRPr="00A57738">
              <w:rPr>
                <w:rFonts w:ascii="Arial" w:hAnsi="Arial" w:cs="Arial"/>
                <w:b/>
                <w:color w:val="000000" w:themeColor="text1"/>
              </w:rPr>
              <w:t>1 640,4</w:t>
            </w:r>
          </w:p>
        </w:tc>
        <w:tc>
          <w:tcPr>
            <w:tcW w:w="1283" w:type="dxa"/>
          </w:tcPr>
          <w:p w14:paraId="111673D0" w14:textId="25001D4F" w:rsidR="00823EF8" w:rsidRPr="00A57738" w:rsidRDefault="00D36BF9" w:rsidP="00F20994">
            <w:pPr>
              <w:jc w:val="right"/>
              <w:rPr>
                <w:rFonts w:ascii="Arial" w:hAnsi="Arial" w:cs="Arial"/>
                <w:b/>
                <w:color w:val="000000" w:themeColor="text1"/>
              </w:rPr>
            </w:pPr>
            <w:r>
              <w:rPr>
                <w:rFonts w:ascii="Arial" w:hAnsi="Arial" w:cs="Arial"/>
                <w:b/>
                <w:color w:val="000000" w:themeColor="text1"/>
              </w:rPr>
              <w:t>+</w:t>
            </w:r>
            <w:r w:rsidR="00074DA0">
              <w:rPr>
                <w:rFonts w:ascii="Arial" w:hAnsi="Arial" w:cs="Arial"/>
                <w:b/>
                <w:color w:val="000000" w:themeColor="text1"/>
              </w:rPr>
              <w:t>63</w:t>
            </w:r>
            <w:r w:rsidR="00823EF8" w:rsidRPr="00A57738">
              <w:rPr>
                <w:rFonts w:ascii="Arial" w:hAnsi="Arial" w:cs="Arial"/>
                <w:b/>
                <w:color w:val="000000" w:themeColor="text1"/>
              </w:rPr>
              <w:t>.</w:t>
            </w:r>
            <w:r w:rsidR="00074DA0">
              <w:rPr>
                <w:rFonts w:ascii="Arial" w:hAnsi="Arial" w:cs="Arial"/>
                <w:b/>
                <w:color w:val="000000" w:themeColor="text1"/>
              </w:rPr>
              <w:t>0</w:t>
            </w:r>
          </w:p>
        </w:tc>
      </w:tr>
      <w:tr w:rsidR="00823EF8" w14:paraId="0CC8BA97" w14:textId="77777777" w:rsidTr="009E2CA8">
        <w:tc>
          <w:tcPr>
            <w:tcW w:w="1697" w:type="dxa"/>
          </w:tcPr>
          <w:p w14:paraId="49DE8570" w14:textId="77777777" w:rsidR="00823EF8" w:rsidRDefault="00823EF8" w:rsidP="00F20994">
            <w:pPr>
              <w:rPr>
                <w:rFonts w:ascii="Arial" w:hAnsi="Arial" w:cs="Arial"/>
                <w:b/>
              </w:rPr>
            </w:pPr>
          </w:p>
        </w:tc>
        <w:tc>
          <w:tcPr>
            <w:tcW w:w="1086" w:type="dxa"/>
          </w:tcPr>
          <w:p w14:paraId="78B206DB" w14:textId="77777777" w:rsidR="00823EF8" w:rsidRDefault="00823EF8" w:rsidP="00F20994">
            <w:pPr>
              <w:jc w:val="right"/>
              <w:rPr>
                <w:rFonts w:ascii="Arial" w:hAnsi="Arial" w:cs="Arial"/>
                <w:b/>
              </w:rPr>
            </w:pPr>
          </w:p>
        </w:tc>
        <w:tc>
          <w:tcPr>
            <w:tcW w:w="1670" w:type="dxa"/>
          </w:tcPr>
          <w:p w14:paraId="60BDF259" w14:textId="77777777" w:rsidR="00823EF8" w:rsidRDefault="00823EF8" w:rsidP="00F20994">
            <w:pPr>
              <w:jc w:val="right"/>
              <w:rPr>
                <w:rFonts w:ascii="Arial" w:hAnsi="Arial" w:cs="Arial"/>
                <w:b/>
                <w:color w:val="144E49" w:themeColor="accent1" w:themeShade="80"/>
              </w:rPr>
            </w:pPr>
            <w:r w:rsidRPr="003F6920">
              <w:rPr>
                <w:rFonts w:ascii="Arial" w:hAnsi="Arial" w:cs="Arial"/>
                <w:b/>
                <w:color w:val="003E62" w:themeColor="accent3" w:themeShade="80"/>
              </w:rPr>
              <w:t>Nedskärning</w:t>
            </w:r>
          </w:p>
        </w:tc>
        <w:tc>
          <w:tcPr>
            <w:tcW w:w="1190" w:type="dxa"/>
          </w:tcPr>
          <w:p w14:paraId="720724A9" w14:textId="77777777" w:rsidR="00823EF8" w:rsidRPr="00CB223D" w:rsidRDefault="00823EF8" w:rsidP="00F20994">
            <w:pPr>
              <w:jc w:val="right"/>
              <w:rPr>
                <w:rFonts w:ascii="Arial" w:hAnsi="Arial" w:cs="Arial"/>
                <w:b/>
                <w:color w:val="144E49" w:themeColor="accent1" w:themeShade="80"/>
              </w:rPr>
            </w:pPr>
            <w:r w:rsidRPr="007E3CF4">
              <w:rPr>
                <w:rFonts w:ascii="Arial" w:hAnsi="Arial" w:cs="Arial"/>
                <w:b/>
                <w:color w:val="000000" w:themeColor="text1"/>
              </w:rPr>
              <w:t>+ 1,61 %</w:t>
            </w:r>
          </w:p>
        </w:tc>
        <w:tc>
          <w:tcPr>
            <w:tcW w:w="1445" w:type="dxa"/>
          </w:tcPr>
          <w:p w14:paraId="1716498E" w14:textId="641318E7" w:rsidR="006979DA" w:rsidRPr="00440077" w:rsidRDefault="00B77232" w:rsidP="00B77232">
            <w:pPr>
              <w:jc w:val="center"/>
              <w:rPr>
                <w:rFonts w:ascii="Arial" w:hAnsi="Arial" w:cs="Arial"/>
                <w:b/>
                <w:color w:val="C00000"/>
              </w:rPr>
            </w:pPr>
            <w:r>
              <w:rPr>
                <w:rFonts w:ascii="Arial" w:hAnsi="Arial" w:cs="Arial"/>
                <w:b/>
                <w:color w:val="C00000"/>
              </w:rPr>
              <w:t>U</w:t>
            </w:r>
            <w:r w:rsidR="006979DA">
              <w:rPr>
                <w:rFonts w:ascii="Arial" w:hAnsi="Arial" w:cs="Arial"/>
                <w:b/>
                <w:color w:val="C00000"/>
              </w:rPr>
              <w:t>tökning</w:t>
            </w:r>
          </w:p>
        </w:tc>
        <w:tc>
          <w:tcPr>
            <w:tcW w:w="1283" w:type="dxa"/>
          </w:tcPr>
          <w:p w14:paraId="4D107E43" w14:textId="27EFBE90" w:rsidR="00823EF8" w:rsidRPr="00CB223D" w:rsidRDefault="00E5465B" w:rsidP="00F20994">
            <w:pPr>
              <w:jc w:val="right"/>
              <w:rPr>
                <w:rFonts w:ascii="Arial" w:hAnsi="Arial" w:cs="Arial"/>
                <w:b/>
                <w:color w:val="C00000"/>
              </w:rPr>
            </w:pPr>
            <w:r>
              <w:rPr>
                <w:rFonts w:ascii="Arial" w:hAnsi="Arial" w:cs="Arial"/>
                <w:b/>
                <w:color w:val="000000" w:themeColor="text1"/>
              </w:rPr>
              <w:t>+ 3</w:t>
            </w:r>
            <w:r w:rsidR="00105B79">
              <w:rPr>
                <w:rFonts w:ascii="Arial" w:hAnsi="Arial" w:cs="Arial"/>
                <w:b/>
                <w:color w:val="000000" w:themeColor="text1"/>
              </w:rPr>
              <w:t>,</w:t>
            </w:r>
            <w:r w:rsidR="007E1DA8">
              <w:rPr>
                <w:rFonts w:ascii="Arial" w:hAnsi="Arial" w:cs="Arial"/>
                <w:b/>
                <w:color w:val="000000" w:themeColor="text1"/>
              </w:rPr>
              <w:t>9</w:t>
            </w:r>
            <w:r w:rsidR="00823EF8" w:rsidRPr="00141531">
              <w:rPr>
                <w:rFonts w:ascii="Arial" w:hAnsi="Arial" w:cs="Arial"/>
                <w:b/>
                <w:color w:val="000000" w:themeColor="text1"/>
              </w:rPr>
              <w:t>9 %</w:t>
            </w:r>
          </w:p>
        </w:tc>
      </w:tr>
    </w:tbl>
    <w:p w14:paraId="0BAAFC10" w14:textId="7E30848D" w:rsidR="00823EF8" w:rsidRPr="00D90B61" w:rsidRDefault="00823EF8" w:rsidP="00823EF8">
      <w:pPr>
        <w:rPr>
          <w:rFonts w:ascii="Arial" w:hAnsi="Arial" w:cs="Arial"/>
        </w:rPr>
      </w:pPr>
    </w:p>
    <w:p w14:paraId="3994B70C" w14:textId="77777777" w:rsidR="00823EF8" w:rsidRDefault="00823EF8" w:rsidP="00823EF8">
      <w:pPr>
        <w:rPr>
          <w:rFonts w:ascii="Arial" w:hAnsi="Arial" w:cs="Arial"/>
          <w:b/>
        </w:rPr>
      </w:pPr>
    </w:p>
    <w:p w14:paraId="0816F449" w14:textId="77777777" w:rsidR="001B77F7" w:rsidRDefault="001B77F7" w:rsidP="00823EF8">
      <w:pPr>
        <w:rPr>
          <w:rFonts w:ascii="Arial" w:hAnsi="Arial" w:cs="Arial"/>
        </w:rPr>
      </w:pPr>
    </w:p>
    <w:p w14:paraId="73A6448C" w14:textId="77777777" w:rsidR="001B77F7" w:rsidRDefault="001B77F7" w:rsidP="00823EF8">
      <w:pPr>
        <w:rPr>
          <w:rFonts w:ascii="Arial" w:hAnsi="Arial" w:cs="Arial"/>
        </w:rPr>
      </w:pPr>
    </w:p>
    <w:p w14:paraId="193F1AE8" w14:textId="77777777" w:rsidR="00823EF8" w:rsidRPr="00A75A18" w:rsidRDefault="00823EF8" w:rsidP="00823EF8">
      <w:pPr>
        <w:rPr>
          <w:rFonts w:ascii="Arial" w:hAnsi="Arial" w:cs="Arial"/>
        </w:rPr>
      </w:pPr>
      <w:r w:rsidRPr="00A75A18">
        <w:rPr>
          <w:rFonts w:ascii="Arial" w:hAnsi="Arial" w:cs="Arial"/>
        </w:rPr>
        <w:t xml:space="preserve">Vänsterpartiets Skattesats </w:t>
      </w:r>
    </w:p>
    <w:p w14:paraId="1B796803" w14:textId="77777777" w:rsidR="00A75A18" w:rsidRDefault="00A75A18" w:rsidP="00823EF8">
      <w:pPr>
        <w:rPr>
          <w:szCs w:val="22"/>
        </w:rPr>
      </w:pPr>
    </w:p>
    <w:p w14:paraId="58DA861A" w14:textId="1F12D843" w:rsidR="00823EF8" w:rsidRDefault="00DB54D0" w:rsidP="00441082">
      <w:pPr>
        <w:rPr>
          <w:szCs w:val="22"/>
        </w:rPr>
      </w:pPr>
      <w:r>
        <w:rPr>
          <w:szCs w:val="22"/>
        </w:rPr>
        <w:t xml:space="preserve">För år 2019 föreslås </w:t>
      </w:r>
      <w:r w:rsidR="00823EF8" w:rsidRPr="009478AF">
        <w:rPr>
          <w:szCs w:val="22"/>
        </w:rPr>
        <w:t>en kommun</w:t>
      </w:r>
      <w:r w:rsidR="005F0697">
        <w:t>al inkomstskatt på</w:t>
      </w:r>
      <w:r w:rsidR="006B0B81">
        <w:rPr>
          <w:szCs w:val="22"/>
        </w:rPr>
        <w:t xml:space="preserve"> 18:10</w:t>
      </w:r>
      <w:r w:rsidR="00823EF8" w:rsidRPr="009478AF">
        <w:rPr>
          <w:szCs w:val="22"/>
        </w:rPr>
        <w:t xml:space="preserve"> kronor</w:t>
      </w:r>
      <w:r w:rsidR="005F0697">
        <w:rPr>
          <w:szCs w:val="22"/>
        </w:rPr>
        <w:t>, en h</w:t>
      </w:r>
      <w:r w:rsidR="00823EF8">
        <w:rPr>
          <w:szCs w:val="22"/>
        </w:rPr>
        <w:t>öjning med 20 öre. Jämfört med 2018 innebär det att verksamheten skulle</w:t>
      </w:r>
      <w:r w:rsidR="00441082">
        <w:rPr>
          <w:szCs w:val="22"/>
        </w:rPr>
        <w:t xml:space="preserve"> kunna utökas enligt vårt förslag nedan samt ge full täckning för </w:t>
      </w:r>
      <w:r w:rsidR="00445646">
        <w:rPr>
          <w:szCs w:val="22"/>
        </w:rPr>
        <w:t>ökade löne- och lokalkostnader</w:t>
      </w:r>
      <w:r w:rsidR="00823EF8">
        <w:rPr>
          <w:szCs w:val="22"/>
        </w:rPr>
        <w:t xml:space="preserve"> samt prisökningar</w:t>
      </w:r>
      <w:r w:rsidR="00441082">
        <w:rPr>
          <w:szCs w:val="22"/>
        </w:rPr>
        <w:t xml:space="preserve"> jämfört med 2018</w:t>
      </w:r>
      <w:r w:rsidR="00823EF8">
        <w:rPr>
          <w:szCs w:val="22"/>
        </w:rPr>
        <w:t>.</w:t>
      </w:r>
    </w:p>
    <w:p w14:paraId="52576890" w14:textId="77777777" w:rsidR="00823EF8" w:rsidRDefault="00823EF8" w:rsidP="00823EF8">
      <w:pPr>
        <w:rPr>
          <w:szCs w:val="22"/>
        </w:rPr>
      </w:pPr>
    </w:p>
    <w:p w14:paraId="7E534356" w14:textId="77777777" w:rsidR="00823EF8" w:rsidRPr="00A75A18" w:rsidRDefault="00823EF8" w:rsidP="00823EF8">
      <w:pPr>
        <w:rPr>
          <w:rFonts w:ascii="Arial" w:hAnsi="Arial" w:cs="Arial"/>
        </w:rPr>
      </w:pPr>
      <w:r w:rsidRPr="00A75A18">
        <w:rPr>
          <w:rFonts w:ascii="Arial" w:hAnsi="Arial" w:cs="Arial"/>
        </w:rPr>
        <w:t xml:space="preserve">Blågrönas Skattesats </w:t>
      </w:r>
    </w:p>
    <w:p w14:paraId="1B980D97" w14:textId="77777777" w:rsidR="00A75A18" w:rsidRDefault="00A75A18" w:rsidP="00823EF8">
      <w:pPr>
        <w:rPr>
          <w:szCs w:val="22"/>
        </w:rPr>
      </w:pPr>
    </w:p>
    <w:p w14:paraId="0ABDA5CB" w14:textId="4DB16E35" w:rsidR="00823EF8" w:rsidRDefault="00DB54D0" w:rsidP="00823EF8">
      <w:pPr>
        <w:rPr>
          <w:szCs w:val="22"/>
        </w:rPr>
      </w:pPr>
      <w:r>
        <w:rPr>
          <w:szCs w:val="22"/>
        </w:rPr>
        <w:t xml:space="preserve">För år 2019 föreslås </w:t>
      </w:r>
      <w:r w:rsidR="00823EF8" w:rsidRPr="009478AF">
        <w:rPr>
          <w:szCs w:val="22"/>
        </w:rPr>
        <w:t>en kommun</w:t>
      </w:r>
      <w:r w:rsidR="00823EF8" w:rsidRPr="009478AF">
        <w:t xml:space="preserve">al inkomstskatt </w:t>
      </w:r>
      <w:r w:rsidR="00E62409">
        <w:rPr>
          <w:szCs w:val="22"/>
        </w:rPr>
        <w:t>på</w:t>
      </w:r>
      <w:r w:rsidR="00823EF8">
        <w:rPr>
          <w:szCs w:val="22"/>
        </w:rPr>
        <w:t xml:space="preserve"> 17:74</w:t>
      </w:r>
      <w:r w:rsidR="00823EF8" w:rsidRPr="009478AF">
        <w:rPr>
          <w:szCs w:val="22"/>
        </w:rPr>
        <w:t xml:space="preserve"> kronor</w:t>
      </w:r>
      <w:r w:rsidR="00E62409">
        <w:rPr>
          <w:szCs w:val="22"/>
        </w:rPr>
        <w:t>, en s</w:t>
      </w:r>
      <w:r w:rsidR="00823EF8">
        <w:rPr>
          <w:szCs w:val="22"/>
        </w:rPr>
        <w:t>änkning med 16 öre. Jämfört med 2018 innebär det att verksamhet och/eller personal måste krympa, med andra o</w:t>
      </w:r>
      <w:r w:rsidR="00445646">
        <w:rPr>
          <w:szCs w:val="22"/>
        </w:rPr>
        <w:t xml:space="preserve">rd besparingar, då ökade löne- och </w:t>
      </w:r>
      <w:r w:rsidR="00823EF8">
        <w:rPr>
          <w:szCs w:val="22"/>
        </w:rPr>
        <w:t>lokal</w:t>
      </w:r>
      <w:r w:rsidR="00445646">
        <w:rPr>
          <w:szCs w:val="22"/>
        </w:rPr>
        <w:t>kostnader samt</w:t>
      </w:r>
      <w:r w:rsidR="004A3539">
        <w:rPr>
          <w:szCs w:val="22"/>
        </w:rPr>
        <w:t xml:space="preserve"> </w:t>
      </w:r>
      <w:r w:rsidR="00823EF8">
        <w:rPr>
          <w:szCs w:val="22"/>
        </w:rPr>
        <w:t>pr</w:t>
      </w:r>
      <w:r w:rsidR="00FA79CA">
        <w:rPr>
          <w:szCs w:val="22"/>
        </w:rPr>
        <w:t>isökningar bara täcks till hälften</w:t>
      </w:r>
      <w:r w:rsidR="00823EF8">
        <w:rPr>
          <w:szCs w:val="22"/>
        </w:rPr>
        <w:t>.</w:t>
      </w:r>
    </w:p>
    <w:p w14:paraId="04F67E33" w14:textId="77777777" w:rsidR="007602F7" w:rsidRDefault="007602F7" w:rsidP="007602F7"/>
    <w:p w14:paraId="7F5429FD" w14:textId="544E2875" w:rsidR="007602F7" w:rsidRPr="00A75A18" w:rsidRDefault="00A75A18" w:rsidP="007602F7">
      <w:pPr>
        <w:rPr>
          <w:rFonts w:asciiTheme="majorHAnsi" w:hAnsiTheme="majorHAnsi" w:cstheme="majorHAnsi"/>
        </w:rPr>
      </w:pPr>
      <w:r w:rsidRPr="00A75A18">
        <w:rPr>
          <w:rFonts w:asciiTheme="majorHAnsi" w:hAnsiTheme="majorHAnsi" w:cstheme="majorHAnsi"/>
        </w:rPr>
        <w:t>Så drabbar blågrönas budget välfärden i Farsta</w:t>
      </w:r>
    </w:p>
    <w:p w14:paraId="334E0CCF" w14:textId="77777777" w:rsidR="00A75A18" w:rsidRDefault="00A75A18" w:rsidP="007602F7"/>
    <w:p w14:paraId="65FFA601" w14:textId="05A39314" w:rsidR="00E22E8B" w:rsidRDefault="00E22E8B" w:rsidP="007602F7">
      <w:r w:rsidRPr="000F3378">
        <w:t>Det blågröna budgetförslaget kommer att innebära en ännu restriktivare biståndsbedömning inom äldreomsorgen, svårigheter med att bevilja den hjälp som den enskilde har behov av inom stöd och service till funktionsnedsatta</w:t>
      </w:r>
      <w:r w:rsidR="006E5AA9">
        <w:t>. Den kommer även innebära</w:t>
      </w:r>
      <w:r w:rsidRPr="000F3378">
        <w:t xml:space="preserve"> större barngrupper alternativt lägre pedagogtäthet inom förskolan. </w:t>
      </w:r>
    </w:p>
    <w:p w14:paraId="1B906F19" w14:textId="77777777" w:rsidR="00E22E8B" w:rsidRDefault="00E22E8B" w:rsidP="000E4B65">
      <w:pPr>
        <w:ind w:left="360"/>
      </w:pPr>
    </w:p>
    <w:p w14:paraId="0F02D9CB" w14:textId="6313E0AB" w:rsidR="00E22E8B" w:rsidRDefault="00E22E8B" w:rsidP="001B7F00">
      <w:r w:rsidRPr="000F3378">
        <w:t>Bostadsmarknaden är allt mera oåtkomlig för ett hushåll som lever på låga inkomster eller försörjningsstöd</w:t>
      </w:r>
      <w:r w:rsidR="00AD57C5">
        <w:t>,</w:t>
      </w:r>
      <w:r w:rsidRPr="000F3378">
        <w:t xml:space="preserve"> vilket ökar kostnaderna för ekonomiskt bistånd till hushåll som saknar eget boende</w:t>
      </w:r>
      <w:r w:rsidR="00AD57C5">
        <w:t xml:space="preserve"> samt </w:t>
      </w:r>
      <w:r w:rsidRPr="000F3378">
        <w:t xml:space="preserve">innebär att boendesegregationen ständigt </w:t>
      </w:r>
      <w:r>
        <w:t xml:space="preserve">fortsätter </w:t>
      </w:r>
      <w:r w:rsidRPr="000F3378">
        <w:t xml:space="preserve">öka.  </w:t>
      </w:r>
    </w:p>
    <w:p w14:paraId="7B69EDB3" w14:textId="77777777" w:rsidR="00E22E8B" w:rsidRPr="000F3378" w:rsidRDefault="00E22E8B" w:rsidP="000E4B65">
      <w:pPr>
        <w:ind w:left="360"/>
      </w:pPr>
    </w:p>
    <w:p w14:paraId="29D0EBA2" w14:textId="77777777" w:rsidR="00E22E8B" w:rsidRDefault="00E22E8B" w:rsidP="000E4B65">
      <w:pPr>
        <w:ind w:left="360"/>
      </w:pPr>
    </w:p>
    <w:p w14:paraId="4EEC6637" w14:textId="665D54AC" w:rsidR="00C60207" w:rsidRPr="00B863EF" w:rsidRDefault="00E22E8B" w:rsidP="001B7F00">
      <w:pPr>
        <w:rPr>
          <w:rFonts w:asciiTheme="majorHAnsi" w:hAnsiTheme="majorHAnsi" w:cstheme="majorHAnsi"/>
          <w:b/>
        </w:rPr>
      </w:pPr>
      <w:r w:rsidRPr="00B863EF">
        <w:rPr>
          <w:rFonts w:asciiTheme="majorHAnsi" w:hAnsiTheme="majorHAnsi" w:cstheme="majorHAnsi"/>
          <w:b/>
        </w:rPr>
        <w:t>Vänsterpartiets</w:t>
      </w:r>
      <w:r w:rsidR="00B863EF">
        <w:rPr>
          <w:rFonts w:asciiTheme="majorHAnsi" w:hAnsiTheme="majorHAnsi" w:cstheme="majorHAnsi"/>
          <w:b/>
        </w:rPr>
        <w:t xml:space="preserve"> budgetförslag</w:t>
      </w:r>
    </w:p>
    <w:p w14:paraId="5E1A26F1" w14:textId="77777777" w:rsidR="00E22E8B" w:rsidRDefault="00E22E8B" w:rsidP="000E4B65">
      <w:pPr>
        <w:ind w:left="360"/>
        <w:rPr>
          <w:b/>
          <w:u w:val="single"/>
        </w:rPr>
      </w:pPr>
    </w:p>
    <w:p w14:paraId="2C54D906" w14:textId="2392922A" w:rsidR="00E22E8B" w:rsidRPr="000F3378" w:rsidRDefault="00B863EF" w:rsidP="00B863EF">
      <w:r>
        <w:t>Farsta</w:t>
      </w:r>
      <w:r w:rsidR="00E22E8B">
        <w:t xml:space="preserve"> </w:t>
      </w:r>
      <w:r w:rsidR="00E22E8B">
        <w:rPr>
          <w:szCs w:val="20"/>
        </w:rPr>
        <w:t xml:space="preserve">ska vara en del av en jämlik, jämställd och klimatsmart stad. För Vänsterpartiet går vår gemensamma välfärd före skattesänkningar och företagens intresse av att göra stora vinster på våra skattepengar. </w:t>
      </w:r>
      <w:r w:rsidR="00E22E8B" w:rsidRPr="000F3378">
        <w:t xml:space="preserve">Vänsterpartiet har </w:t>
      </w:r>
      <w:r w:rsidR="00E22E8B">
        <w:t>därför</w:t>
      </w:r>
      <w:r w:rsidR="00BD055E">
        <w:t xml:space="preserve"> föreslagit en höjning med 20</w:t>
      </w:r>
      <w:r w:rsidR="006A031D">
        <w:t xml:space="preserve"> öre – totalt 36</w:t>
      </w:r>
      <w:r w:rsidR="00E22E8B" w:rsidRPr="000F3378">
        <w:t xml:space="preserve"> öre högre skattesats</w:t>
      </w:r>
      <w:r w:rsidR="00E22E8B">
        <w:t xml:space="preserve"> än majoriteten</w:t>
      </w:r>
      <w:r w:rsidR="00E22E8B" w:rsidRPr="000F3378">
        <w:t xml:space="preserve"> - för att kunna göra offensiva satsningar i stadens välfärdsverksamheter.</w:t>
      </w:r>
      <w:r w:rsidR="00E22E8B">
        <w:t xml:space="preserve"> </w:t>
      </w:r>
      <w:r w:rsidR="00E22E8B" w:rsidRPr="000F3378">
        <w:t>Vänsterpartiets budgetförslag skulle ge stadsdelsnämnderna ett tillskott med totalt 523 miljoner</w:t>
      </w:r>
      <w:r w:rsidR="00E22E8B">
        <w:t xml:space="preserve"> kr</w:t>
      </w:r>
      <w:r w:rsidR="00252687">
        <w:t xml:space="preserve">, därav 63 miljoner till Farsta </w:t>
      </w:r>
      <w:r w:rsidR="00970C15">
        <w:t xml:space="preserve">Stadsdelsnämnd </w:t>
      </w:r>
      <w:r w:rsidR="00252687">
        <w:t>då vi satsar särskild på ytterstaden</w:t>
      </w:r>
      <w:r w:rsidR="00F707BA">
        <w:t xml:space="preserve">s </w:t>
      </w:r>
      <w:r w:rsidR="00BC3698">
        <w:t>sju stadsdelar</w:t>
      </w:r>
      <w:r w:rsidR="00E22E8B" w:rsidRPr="000F3378">
        <w:t>.</w:t>
      </w:r>
    </w:p>
    <w:p w14:paraId="4E167D1E" w14:textId="77777777" w:rsidR="00E22E8B" w:rsidRDefault="00E22E8B" w:rsidP="000E4B65">
      <w:pPr>
        <w:ind w:left="360"/>
        <w:rPr>
          <w:szCs w:val="20"/>
        </w:rPr>
      </w:pPr>
    </w:p>
    <w:p w14:paraId="4FCABBBE" w14:textId="77777777" w:rsidR="00E22E8B" w:rsidRPr="002F6C52" w:rsidRDefault="00E22E8B" w:rsidP="00B7153D">
      <w:r w:rsidRPr="002F6C52">
        <w:t xml:space="preserve">Vi vill ge mera makt åt de lokala beslutsfattarna och åt invånarna i stadsdelen på bekostnad av centrala nämnder och styrelser.  </w:t>
      </w:r>
    </w:p>
    <w:p w14:paraId="2F914BAE" w14:textId="77777777" w:rsidR="00E22E8B" w:rsidRPr="002F6C52" w:rsidRDefault="00E22E8B" w:rsidP="000E4B65">
      <w:pPr>
        <w:ind w:left="360"/>
      </w:pPr>
    </w:p>
    <w:p w14:paraId="74111C03" w14:textId="77777777" w:rsidR="00E22E8B" w:rsidRDefault="00E22E8B" w:rsidP="00B7153D">
      <w:r w:rsidRPr="000F3378">
        <w:t xml:space="preserve">En stor del av driften av gemensamt finansierade verksamheter ligger hos vinstdrivande företag.  Vi vill satsa på verksamhet av hög kvalitet i egen regi.  Vi vill förbjuda vinstintressen i driften av den gemensamma välfärden.  </w:t>
      </w:r>
    </w:p>
    <w:p w14:paraId="4F6C9C12" w14:textId="77777777" w:rsidR="00E22E8B" w:rsidRDefault="00E22E8B" w:rsidP="000E4B65">
      <w:pPr>
        <w:ind w:left="360"/>
        <w:rPr>
          <w:szCs w:val="20"/>
        </w:rPr>
      </w:pPr>
    </w:p>
    <w:p w14:paraId="14AC377B" w14:textId="77777777" w:rsidR="00E22E8B" w:rsidRDefault="00E22E8B" w:rsidP="000E4B65">
      <w:pPr>
        <w:ind w:left="360"/>
        <w:rPr>
          <w:szCs w:val="20"/>
        </w:rPr>
      </w:pPr>
    </w:p>
    <w:p w14:paraId="695B3DE9" w14:textId="2D9BD8EC" w:rsidR="00B7153D" w:rsidRDefault="00B7153D" w:rsidP="000E4B65">
      <w:pPr>
        <w:keepNext/>
        <w:tabs>
          <w:tab w:val="left" w:pos="933"/>
        </w:tabs>
        <w:ind w:right="-284"/>
        <w:outlineLvl w:val="0"/>
        <w:rPr>
          <w:rFonts w:asciiTheme="majorHAnsi" w:hAnsiTheme="majorHAnsi" w:cstheme="majorHAnsi"/>
          <w:szCs w:val="20"/>
        </w:rPr>
      </w:pPr>
      <w:r>
        <w:rPr>
          <w:rFonts w:asciiTheme="majorHAnsi" w:hAnsiTheme="majorHAnsi" w:cstheme="majorHAnsi"/>
          <w:szCs w:val="20"/>
        </w:rPr>
        <w:t xml:space="preserve">Förskoleverksamhet </w:t>
      </w:r>
    </w:p>
    <w:p w14:paraId="6C6303F6" w14:textId="77777777" w:rsidR="00B7153D" w:rsidRDefault="00B7153D" w:rsidP="000E4B65">
      <w:pPr>
        <w:keepNext/>
        <w:tabs>
          <w:tab w:val="left" w:pos="933"/>
        </w:tabs>
        <w:ind w:right="-284"/>
        <w:outlineLvl w:val="0"/>
        <w:rPr>
          <w:rFonts w:asciiTheme="majorHAnsi" w:hAnsiTheme="majorHAnsi" w:cstheme="majorHAnsi"/>
          <w:szCs w:val="20"/>
        </w:rPr>
      </w:pPr>
    </w:p>
    <w:p w14:paraId="00BE775A" w14:textId="77777777" w:rsidR="00E22E8B" w:rsidRDefault="00E22E8B" w:rsidP="000E4B65">
      <w:pPr>
        <w:keepNext/>
        <w:tabs>
          <w:tab w:val="left" w:pos="933"/>
        </w:tabs>
        <w:ind w:right="-284"/>
        <w:outlineLvl w:val="0"/>
        <w:rPr>
          <w:szCs w:val="20"/>
        </w:rPr>
      </w:pPr>
      <w:r>
        <w:rPr>
          <w:szCs w:val="20"/>
        </w:rPr>
        <w:t xml:space="preserve">Resurser behövs för att öka personaltätheten. Personalen ska få förutsättningar att fokusera på det pedagogiska uppdraget och inte ägna tid åt onödig administration. En god arbetsmiljö underlättar rekrytering av nya medarbetare och möjligheter att behålla dem som valt att arbeta </w:t>
      </w:r>
    </w:p>
    <w:p w14:paraId="25F55B10" w14:textId="77777777" w:rsidR="00E22E8B" w:rsidRPr="00E22E8B" w:rsidRDefault="00E22E8B" w:rsidP="000E4B65">
      <w:r>
        <w:rPr>
          <w:szCs w:val="20"/>
        </w:rPr>
        <w:t xml:space="preserve">hos oss. </w:t>
      </w:r>
    </w:p>
    <w:p w14:paraId="50B34476" w14:textId="77777777" w:rsidR="00E22E8B" w:rsidRDefault="00E22E8B" w:rsidP="000E4B65">
      <w:pPr>
        <w:keepNext/>
        <w:tabs>
          <w:tab w:val="left" w:pos="933"/>
        </w:tabs>
        <w:ind w:right="-284"/>
        <w:outlineLvl w:val="0"/>
        <w:rPr>
          <w:szCs w:val="20"/>
        </w:rPr>
      </w:pPr>
      <w:r>
        <w:rPr>
          <w:szCs w:val="20"/>
        </w:rPr>
        <w:lastRenderedPageBreak/>
        <w:t xml:space="preserve"> </w:t>
      </w:r>
    </w:p>
    <w:p w14:paraId="08564B6F" w14:textId="77777777" w:rsidR="00E22E8B" w:rsidRDefault="00E22E8B" w:rsidP="000E4B65">
      <w:pPr>
        <w:keepNext/>
        <w:tabs>
          <w:tab w:val="left" w:pos="933"/>
        </w:tabs>
        <w:ind w:right="-284"/>
        <w:outlineLvl w:val="0"/>
        <w:rPr>
          <w:rFonts w:asciiTheme="majorHAnsi" w:hAnsiTheme="majorHAnsi" w:cstheme="majorHAnsi"/>
          <w:szCs w:val="20"/>
        </w:rPr>
      </w:pPr>
      <w:r w:rsidRPr="00B7153D">
        <w:rPr>
          <w:rFonts w:asciiTheme="majorHAnsi" w:hAnsiTheme="majorHAnsi" w:cstheme="majorHAnsi"/>
          <w:szCs w:val="20"/>
        </w:rPr>
        <w:t>Äldreomsorg</w:t>
      </w:r>
    </w:p>
    <w:p w14:paraId="4EDDA695" w14:textId="77777777" w:rsidR="00B7153D" w:rsidRPr="00B7153D" w:rsidRDefault="00B7153D" w:rsidP="000E4B65">
      <w:pPr>
        <w:keepNext/>
        <w:tabs>
          <w:tab w:val="left" w:pos="933"/>
        </w:tabs>
        <w:ind w:right="-284"/>
        <w:outlineLvl w:val="0"/>
        <w:rPr>
          <w:rFonts w:asciiTheme="majorHAnsi" w:hAnsiTheme="majorHAnsi" w:cstheme="majorHAnsi"/>
          <w:szCs w:val="20"/>
        </w:rPr>
      </w:pPr>
    </w:p>
    <w:p w14:paraId="719893F9" w14:textId="5639090C" w:rsidR="00E22E8B" w:rsidRPr="00950C83" w:rsidRDefault="00E22E8B" w:rsidP="00950C83">
      <w:pPr>
        <w:keepNext/>
        <w:tabs>
          <w:tab w:val="left" w:pos="933"/>
        </w:tabs>
        <w:ind w:right="-284"/>
        <w:outlineLvl w:val="0"/>
        <w:rPr>
          <w:szCs w:val="20"/>
        </w:rPr>
      </w:pPr>
      <w:r>
        <w:rPr>
          <w:szCs w:val="20"/>
        </w:rPr>
        <w:t xml:space="preserve">Alla äldre ska känna sig trygga i att stöd i olika former finns att tillgå vid behov och att den enskildes önskemål ska vara utgångspunkten i att utforma stödet. </w:t>
      </w:r>
      <w:r w:rsidR="00950C83" w:rsidRPr="00950C83">
        <w:rPr>
          <w:szCs w:val="20"/>
        </w:rPr>
        <w:t>Vänsterpartiet kommer fortsätta att arbeta för nya äldreboenden samtidigt som vi renoverar och rustar upp de vi har i kommunal regi. Samma höga kvalitets- och arbetsmiljökrav ska självklart ställas på alla som tillhandahåller dessa tjänster och bostäder. Vi vill fortsätta att utveckla äldreomsorgen med förkortad arbetstid för hemtjänstpersonal, fria arbetskläder och kompetensutveckling.</w:t>
      </w:r>
    </w:p>
    <w:p w14:paraId="0571AF92" w14:textId="77777777" w:rsidR="00E22E8B" w:rsidRDefault="00E22E8B" w:rsidP="000E4B65">
      <w:pPr>
        <w:keepNext/>
        <w:tabs>
          <w:tab w:val="left" w:pos="933"/>
        </w:tabs>
        <w:ind w:right="-284"/>
        <w:outlineLvl w:val="0"/>
        <w:rPr>
          <w:szCs w:val="20"/>
        </w:rPr>
      </w:pPr>
    </w:p>
    <w:p w14:paraId="75692E1B" w14:textId="77777777" w:rsidR="00E22E8B" w:rsidRPr="00DA775A" w:rsidRDefault="00E22E8B" w:rsidP="000E4B65">
      <w:pPr>
        <w:keepNext/>
        <w:tabs>
          <w:tab w:val="left" w:pos="933"/>
        </w:tabs>
        <w:ind w:right="-284"/>
        <w:outlineLvl w:val="0"/>
        <w:rPr>
          <w:rFonts w:asciiTheme="majorHAnsi" w:hAnsiTheme="majorHAnsi" w:cstheme="majorHAnsi"/>
          <w:szCs w:val="20"/>
        </w:rPr>
      </w:pPr>
      <w:r w:rsidRPr="00DA775A">
        <w:rPr>
          <w:rFonts w:asciiTheme="majorHAnsi" w:hAnsiTheme="majorHAnsi" w:cstheme="majorHAnsi"/>
          <w:szCs w:val="20"/>
        </w:rPr>
        <w:t>Individ och familj</w:t>
      </w:r>
    </w:p>
    <w:p w14:paraId="144A882F" w14:textId="77777777" w:rsidR="00DA775A" w:rsidRDefault="00DA775A" w:rsidP="000E4B65">
      <w:pPr>
        <w:keepNext/>
        <w:tabs>
          <w:tab w:val="left" w:pos="933"/>
        </w:tabs>
        <w:ind w:right="-284"/>
        <w:outlineLvl w:val="0"/>
        <w:rPr>
          <w:szCs w:val="20"/>
        </w:rPr>
      </w:pPr>
    </w:p>
    <w:p w14:paraId="5F1AB93E" w14:textId="77777777" w:rsidR="00E22E8B" w:rsidRDefault="00E22E8B" w:rsidP="000E4B65">
      <w:pPr>
        <w:keepNext/>
        <w:tabs>
          <w:tab w:val="left" w:pos="933"/>
        </w:tabs>
        <w:ind w:right="-284"/>
        <w:outlineLvl w:val="0"/>
        <w:rPr>
          <w:szCs w:val="20"/>
        </w:rPr>
      </w:pPr>
      <w:r>
        <w:rPr>
          <w:szCs w:val="20"/>
        </w:rPr>
        <w:t xml:space="preserve">Ett säkert och tydligt bemötande av alla som söker stöd är en grundläggande förebyggande åtgärd inom socialt arbete. Arbetet med att följa upp handlingsplanen för socialsekreterarnas arbetsmiljö ska fortsätta. </w:t>
      </w:r>
    </w:p>
    <w:p w14:paraId="1F416E0C" w14:textId="77777777" w:rsidR="00E22E8B" w:rsidRDefault="00E22E8B" w:rsidP="000E4B65">
      <w:pPr>
        <w:keepNext/>
        <w:tabs>
          <w:tab w:val="left" w:pos="933"/>
        </w:tabs>
        <w:ind w:right="-284"/>
        <w:outlineLvl w:val="0"/>
        <w:rPr>
          <w:szCs w:val="20"/>
        </w:rPr>
      </w:pPr>
    </w:p>
    <w:p w14:paraId="2C2772C4" w14:textId="77777777" w:rsidR="00E22E8B" w:rsidRDefault="00E22E8B" w:rsidP="000E4B65">
      <w:pPr>
        <w:keepNext/>
        <w:tabs>
          <w:tab w:val="left" w:pos="933"/>
        </w:tabs>
        <w:ind w:right="-284"/>
        <w:outlineLvl w:val="0"/>
        <w:rPr>
          <w:rFonts w:asciiTheme="majorHAnsi" w:hAnsiTheme="majorHAnsi" w:cstheme="majorHAnsi"/>
          <w:szCs w:val="20"/>
        </w:rPr>
      </w:pPr>
      <w:r w:rsidRPr="00DA775A">
        <w:rPr>
          <w:rFonts w:asciiTheme="majorHAnsi" w:hAnsiTheme="majorHAnsi" w:cstheme="majorHAnsi"/>
          <w:szCs w:val="20"/>
        </w:rPr>
        <w:t>Ungdomsverksamhet</w:t>
      </w:r>
    </w:p>
    <w:p w14:paraId="0A57383D" w14:textId="77777777" w:rsidR="00DA775A" w:rsidRPr="00DA775A" w:rsidRDefault="00DA775A" w:rsidP="000E4B65">
      <w:pPr>
        <w:keepNext/>
        <w:tabs>
          <w:tab w:val="left" w:pos="933"/>
        </w:tabs>
        <w:ind w:right="-284"/>
        <w:outlineLvl w:val="0"/>
        <w:rPr>
          <w:rFonts w:asciiTheme="majorHAnsi" w:hAnsiTheme="majorHAnsi" w:cstheme="majorHAnsi"/>
          <w:szCs w:val="20"/>
        </w:rPr>
      </w:pPr>
    </w:p>
    <w:p w14:paraId="006A89B8" w14:textId="2BFBEAB0" w:rsidR="00E22E8B" w:rsidRDefault="00E22E8B" w:rsidP="000E4B65">
      <w:pPr>
        <w:keepNext/>
        <w:tabs>
          <w:tab w:val="left" w:pos="933"/>
        </w:tabs>
        <w:ind w:right="-284"/>
        <w:outlineLvl w:val="0"/>
        <w:rPr>
          <w:szCs w:val="20"/>
        </w:rPr>
      </w:pPr>
      <w:r>
        <w:rPr>
          <w:szCs w:val="20"/>
        </w:rPr>
        <w:t xml:space="preserve">Fältverksamheten ska behållas och utvecklas. Ett starkt förebyggande socialt arbete är viktigt för att </w:t>
      </w:r>
      <w:r w:rsidR="00570795">
        <w:rPr>
          <w:szCs w:val="20"/>
        </w:rPr>
        <w:t>för att behålla tryggheten i Farsta</w:t>
      </w:r>
      <w:r>
        <w:rPr>
          <w:szCs w:val="20"/>
        </w:rPr>
        <w:t xml:space="preserve">. </w:t>
      </w:r>
    </w:p>
    <w:p w14:paraId="7A6734E1" w14:textId="26A33C91" w:rsidR="00950C83" w:rsidRDefault="00950C83" w:rsidP="000E4B65">
      <w:pPr>
        <w:keepNext/>
        <w:tabs>
          <w:tab w:val="left" w:pos="933"/>
        </w:tabs>
        <w:ind w:right="-284"/>
        <w:outlineLvl w:val="0"/>
        <w:rPr>
          <w:szCs w:val="20"/>
        </w:rPr>
      </w:pPr>
    </w:p>
    <w:p w14:paraId="5F5752BA" w14:textId="38D432DB" w:rsidR="00950C83" w:rsidRDefault="00950C83" w:rsidP="000E4B65">
      <w:pPr>
        <w:keepNext/>
        <w:tabs>
          <w:tab w:val="left" w:pos="933"/>
        </w:tabs>
        <w:ind w:right="-284"/>
        <w:outlineLvl w:val="0"/>
        <w:rPr>
          <w:rFonts w:ascii="Arial" w:hAnsi="Arial" w:cs="Arial"/>
          <w:szCs w:val="20"/>
        </w:rPr>
      </w:pPr>
      <w:r w:rsidRPr="00950C83">
        <w:rPr>
          <w:rFonts w:ascii="Arial" w:hAnsi="Arial" w:cs="Arial"/>
          <w:szCs w:val="20"/>
        </w:rPr>
        <w:t xml:space="preserve">Kultur </w:t>
      </w:r>
    </w:p>
    <w:p w14:paraId="3FAFD71F" w14:textId="77777777" w:rsidR="00950C83" w:rsidRPr="00950C83" w:rsidRDefault="00950C83" w:rsidP="000E4B65">
      <w:pPr>
        <w:keepNext/>
        <w:tabs>
          <w:tab w:val="left" w:pos="933"/>
        </w:tabs>
        <w:ind w:right="-284"/>
        <w:outlineLvl w:val="0"/>
        <w:rPr>
          <w:rFonts w:ascii="Arial" w:hAnsi="Arial" w:cs="Arial"/>
          <w:szCs w:val="20"/>
        </w:rPr>
      </w:pPr>
    </w:p>
    <w:p w14:paraId="64646714" w14:textId="382DC70B" w:rsidR="00950C83" w:rsidRDefault="00950C83" w:rsidP="00950C83">
      <w:pPr>
        <w:keepNext/>
        <w:tabs>
          <w:tab w:val="left" w:pos="933"/>
        </w:tabs>
        <w:ind w:right="-284"/>
        <w:outlineLvl w:val="0"/>
        <w:rPr>
          <w:szCs w:val="20"/>
        </w:rPr>
      </w:pPr>
      <w:r>
        <w:rPr>
          <w:szCs w:val="20"/>
        </w:rPr>
        <w:t>Beroende på hur tilldelade ekonomiska medel fördelas så skulle vi i framtiden vilja ha</w:t>
      </w:r>
      <w:r w:rsidRPr="00950C83">
        <w:rPr>
          <w:szCs w:val="20"/>
        </w:rPr>
        <w:t xml:space="preserve"> ett riktigt kulturhus i Farsta, men redan nu förstärka kultur- och fritidssamarbetet mellan aktivitetshuset Tuben, Biblioteket, Fanfaren, skolorna och föreningslivet. </w:t>
      </w:r>
    </w:p>
    <w:p w14:paraId="75F31ABE" w14:textId="77777777" w:rsidR="00950C83" w:rsidRPr="00950C83" w:rsidRDefault="00950C83" w:rsidP="00950C83">
      <w:pPr>
        <w:keepNext/>
        <w:tabs>
          <w:tab w:val="left" w:pos="933"/>
        </w:tabs>
        <w:ind w:right="-284"/>
        <w:outlineLvl w:val="0"/>
        <w:rPr>
          <w:szCs w:val="20"/>
        </w:rPr>
      </w:pPr>
    </w:p>
    <w:p w14:paraId="3A6A1AB8" w14:textId="651D013A" w:rsidR="00950C83" w:rsidRDefault="00950C83" w:rsidP="00950C83">
      <w:pPr>
        <w:keepNext/>
        <w:tabs>
          <w:tab w:val="left" w:pos="933"/>
        </w:tabs>
        <w:ind w:right="-284"/>
        <w:outlineLvl w:val="0"/>
        <w:rPr>
          <w:rFonts w:ascii="Arial" w:hAnsi="Arial" w:cs="Arial"/>
          <w:szCs w:val="20"/>
        </w:rPr>
      </w:pPr>
      <w:r>
        <w:rPr>
          <w:rFonts w:ascii="Arial" w:hAnsi="Arial" w:cs="Arial"/>
          <w:szCs w:val="20"/>
        </w:rPr>
        <w:t>Omsorg</w:t>
      </w:r>
    </w:p>
    <w:p w14:paraId="305777FF" w14:textId="77777777" w:rsidR="00950C83" w:rsidRPr="00950C83" w:rsidRDefault="00950C83" w:rsidP="00950C83">
      <w:pPr>
        <w:keepNext/>
        <w:tabs>
          <w:tab w:val="left" w:pos="933"/>
        </w:tabs>
        <w:ind w:right="-284"/>
        <w:outlineLvl w:val="0"/>
        <w:rPr>
          <w:rFonts w:ascii="Arial" w:hAnsi="Arial" w:cs="Arial"/>
          <w:szCs w:val="20"/>
        </w:rPr>
      </w:pPr>
    </w:p>
    <w:p w14:paraId="032F5955" w14:textId="1B607280" w:rsidR="00950C83" w:rsidRDefault="00950C83" w:rsidP="00950C83">
      <w:pPr>
        <w:keepNext/>
        <w:tabs>
          <w:tab w:val="left" w:pos="933"/>
        </w:tabs>
        <w:ind w:right="-284"/>
        <w:outlineLvl w:val="0"/>
        <w:rPr>
          <w:szCs w:val="20"/>
        </w:rPr>
      </w:pPr>
      <w:r w:rsidRPr="00950C83">
        <w:rPr>
          <w:szCs w:val="20"/>
        </w:rPr>
        <w:t>Farsta är en av de stadsdelar som mest arbetat för att skapa fler LSS-boenden för invånare med särskilda behov. Vänsterpartiet vill fortsätta att satsa på omsorg för personer med funktionsnedsättning så att alla kan få möjlighet till en aktiv och mer jämlik tillvaro. Vi vill även fortsätta förstärka den individ- och familjeomsorg, däribland socialpsykiatrin, som står för viktiga förebyggande insatser. En del i det arbetet är att skapa flera heltidstjänster med bra anställnings-och utvecklingsvillkor för personalen.</w:t>
      </w:r>
    </w:p>
    <w:p w14:paraId="12321A62" w14:textId="77777777" w:rsidR="00E22E8B" w:rsidRDefault="00E22E8B" w:rsidP="000E4B65">
      <w:pPr>
        <w:keepNext/>
        <w:tabs>
          <w:tab w:val="left" w:pos="933"/>
        </w:tabs>
        <w:ind w:right="-284"/>
        <w:outlineLvl w:val="0"/>
        <w:rPr>
          <w:szCs w:val="20"/>
        </w:rPr>
      </w:pPr>
    </w:p>
    <w:p w14:paraId="32F229C8" w14:textId="1DC13EE6" w:rsidR="00E22E8B" w:rsidRDefault="00E22E8B" w:rsidP="00950C83"/>
    <w:p w14:paraId="73199419" w14:textId="30202DB3" w:rsidR="00950C83" w:rsidRPr="00982EC3" w:rsidRDefault="00982EC3" w:rsidP="00950C83">
      <w:pPr>
        <w:rPr>
          <w:rFonts w:ascii="Arial" w:hAnsi="Arial" w:cs="Arial"/>
        </w:rPr>
      </w:pPr>
      <w:r w:rsidRPr="00982EC3">
        <w:rPr>
          <w:rFonts w:ascii="Arial" w:hAnsi="Arial" w:cs="Arial"/>
        </w:rPr>
        <w:t>Sammanfattningsvis</w:t>
      </w:r>
    </w:p>
    <w:p w14:paraId="5D86093D" w14:textId="77777777" w:rsidR="00982EC3" w:rsidRDefault="00982EC3" w:rsidP="00950C83"/>
    <w:p w14:paraId="08FDF59C" w14:textId="31DE2AA4" w:rsidR="00950C83" w:rsidRPr="00C60207" w:rsidRDefault="00950C83" w:rsidP="00950C83">
      <w:r>
        <w:t>Med vår budget finns utrymme både för att bibehålla de pågående verksa</w:t>
      </w:r>
      <w:r w:rsidR="00982EC3">
        <w:t xml:space="preserve">mheter från tidigare år och ett tillskott på ytterligare 15 miljoner kronor till vår gemensamma välfärd. </w:t>
      </w:r>
    </w:p>
    <w:sectPr w:rsidR="00950C83" w:rsidRPr="00C60207" w:rsidSect="00F67435">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E6171" w14:textId="77777777" w:rsidR="003B6967" w:rsidRDefault="003B6967" w:rsidP="00943698">
      <w:r>
        <w:separator/>
      </w:r>
    </w:p>
  </w:endnote>
  <w:endnote w:type="continuationSeparator" w:id="0">
    <w:p w14:paraId="13B340C2" w14:textId="77777777" w:rsidR="003B6967" w:rsidRDefault="003B6967" w:rsidP="009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10006FF" w:usb1="4000205B" w:usb2="00000010" w:usb3="00000000" w:csb0="0000019F" w:csb1="00000000"/>
  </w:font>
  <w:font w:name="Heiti SC">
    <w:altName w:val="SimSun"/>
    <w:charset w:val="86"/>
    <w:family w:val="auto"/>
    <w:pitch w:val="variable"/>
    <w:sig w:usb0="00000000" w:usb1="080E004A" w:usb2="00000010" w:usb3="00000000" w:csb0="003E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B2EF" w14:textId="77777777" w:rsidR="003B6967" w:rsidRDefault="003B6967" w:rsidP="00943698">
      <w:r>
        <w:separator/>
      </w:r>
    </w:p>
  </w:footnote>
  <w:footnote w:type="continuationSeparator" w:id="0">
    <w:p w14:paraId="57BA0778" w14:textId="77777777" w:rsidR="003B6967" w:rsidRDefault="003B6967" w:rsidP="0094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048C" w14:textId="3157D917" w:rsidR="0060154F" w:rsidRDefault="0060154F">
    <w:pPr>
      <w:pStyle w:val="Sidhuvud"/>
    </w:pPr>
    <w:r w:rsidRPr="0060154F">
      <w:rPr>
        <w:noProof/>
      </w:rPr>
      <w:drawing>
        <wp:inline distT="0" distB="0" distL="0" distR="0" wp14:anchorId="6F767103" wp14:editId="6EE70FD9">
          <wp:extent cx="291610" cy="291610"/>
          <wp:effectExtent l="0" t="0" r="0" b="0"/>
          <wp:docPr id="2" name="Bildobjekt 3" descr="V-logga_sRGB_transparent-bakgr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3" descr="V-logga_sRGB_transparent-bakgrund.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915" cy="293915"/>
                  </a:xfrm>
                  <a:prstGeom prst="rect">
                    <a:avLst/>
                  </a:prstGeom>
                  <a:noFill/>
                  <a:ln>
                    <a:noFill/>
                  </a:ln>
                  <a:extLst/>
                </pic:spPr>
              </pic:pic>
            </a:graphicData>
          </a:graphic>
        </wp:inline>
      </w:drawing>
    </w:r>
  </w:p>
  <w:p w14:paraId="096ED284"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4A7D63"/>
    <w:multiLevelType w:val="hybridMultilevel"/>
    <w:tmpl w:val="93245338"/>
    <w:lvl w:ilvl="0" w:tplc="8E665648">
      <w:start w:val="200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772622"/>
    <w:multiLevelType w:val="hybridMultilevel"/>
    <w:tmpl w:val="FCDC4ECE"/>
    <w:lvl w:ilvl="0" w:tplc="78E2FE50">
      <w:numFmt w:val="bullet"/>
      <w:lvlText w:val=""/>
      <w:lvlJc w:val="left"/>
      <w:pPr>
        <w:tabs>
          <w:tab w:val="num" w:pos="786"/>
        </w:tabs>
        <w:ind w:left="786" w:hanging="360"/>
      </w:pPr>
      <w:rPr>
        <w:rFonts w:ascii="Symbol" w:eastAsia="Times New Roman" w:hAnsi="Symbol" w:cs="Times New Roman"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hint="default"/>
      </w:rPr>
    </w:lvl>
    <w:lvl w:ilvl="3" w:tplc="041D0001" w:tentative="1">
      <w:start w:val="1"/>
      <w:numFmt w:val="bullet"/>
      <w:lvlText w:val=""/>
      <w:lvlJc w:val="left"/>
      <w:pPr>
        <w:tabs>
          <w:tab w:val="num" w:pos="2946"/>
        </w:tabs>
        <w:ind w:left="2946" w:hanging="360"/>
      </w:pPr>
      <w:rPr>
        <w:rFonts w:ascii="Symbol" w:hAnsi="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hint="default"/>
      </w:rPr>
    </w:lvl>
    <w:lvl w:ilvl="6" w:tplc="041D0001" w:tentative="1">
      <w:start w:val="1"/>
      <w:numFmt w:val="bullet"/>
      <w:lvlText w:val=""/>
      <w:lvlJc w:val="left"/>
      <w:pPr>
        <w:tabs>
          <w:tab w:val="num" w:pos="5106"/>
        </w:tabs>
        <w:ind w:left="5106" w:hanging="360"/>
      </w:pPr>
      <w:rPr>
        <w:rFonts w:ascii="Symbol" w:hAnsi="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5EAB20D6"/>
    <w:multiLevelType w:val="hybridMultilevel"/>
    <w:tmpl w:val="5E8EEFE0"/>
    <w:name w:val="WW8Num83"/>
    <w:lvl w:ilvl="0" w:tplc="041D0005">
      <w:start w:val="1"/>
      <w:numFmt w:val="bullet"/>
      <w:lvlText w:val=""/>
      <w:lvlJc w:val="left"/>
      <w:pPr>
        <w:tabs>
          <w:tab w:val="num" w:pos="360"/>
        </w:tabs>
        <w:ind w:left="360" w:hanging="360"/>
      </w:pPr>
      <w:rPr>
        <w:rFonts w:ascii="Wingdings" w:hAnsi="Wingdings" w:hint="default"/>
      </w:rPr>
    </w:lvl>
    <w:lvl w:ilvl="1" w:tplc="041D0001">
      <w:start w:val="1"/>
      <w:numFmt w:val="bullet"/>
      <w:lvlText w:val=""/>
      <w:lvlJc w:val="left"/>
      <w:pPr>
        <w:tabs>
          <w:tab w:val="num" w:pos="1260"/>
        </w:tabs>
        <w:ind w:left="1260" w:hanging="360"/>
      </w:pPr>
      <w:rPr>
        <w:rFonts w:ascii="Symbol" w:hAnsi="Symbo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3"/>
  </w:num>
  <w:num w:numId="8">
    <w:abstractNumId w:val="3"/>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8B"/>
    <w:rsid w:val="000220D5"/>
    <w:rsid w:val="000444DC"/>
    <w:rsid w:val="00066C80"/>
    <w:rsid w:val="00074DA0"/>
    <w:rsid w:val="00092497"/>
    <w:rsid w:val="000C0D35"/>
    <w:rsid w:val="000D3256"/>
    <w:rsid w:val="000D6E52"/>
    <w:rsid w:val="000E3A71"/>
    <w:rsid w:val="000E4B65"/>
    <w:rsid w:val="000F4C0E"/>
    <w:rsid w:val="000F721B"/>
    <w:rsid w:val="00102753"/>
    <w:rsid w:val="00105B79"/>
    <w:rsid w:val="00106709"/>
    <w:rsid w:val="00132314"/>
    <w:rsid w:val="001434D2"/>
    <w:rsid w:val="0016427A"/>
    <w:rsid w:val="00190C66"/>
    <w:rsid w:val="001A6B88"/>
    <w:rsid w:val="001B77F7"/>
    <w:rsid w:val="001B7F00"/>
    <w:rsid w:val="001D2D1B"/>
    <w:rsid w:val="001E0C20"/>
    <w:rsid w:val="00204486"/>
    <w:rsid w:val="002158F8"/>
    <w:rsid w:val="0022065B"/>
    <w:rsid w:val="00231470"/>
    <w:rsid w:val="002447B9"/>
    <w:rsid w:val="00252687"/>
    <w:rsid w:val="00270546"/>
    <w:rsid w:val="002E22F8"/>
    <w:rsid w:val="002F2622"/>
    <w:rsid w:val="003010CE"/>
    <w:rsid w:val="00302170"/>
    <w:rsid w:val="00316E9C"/>
    <w:rsid w:val="00326093"/>
    <w:rsid w:val="003415AD"/>
    <w:rsid w:val="00361FDC"/>
    <w:rsid w:val="00363AB8"/>
    <w:rsid w:val="003B6967"/>
    <w:rsid w:val="003C3F13"/>
    <w:rsid w:val="003F6920"/>
    <w:rsid w:val="00420EEA"/>
    <w:rsid w:val="00422818"/>
    <w:rsid w:val="00441082"/>
    <w:rsid w:val="00445646"/>
    <w:rsid w:val="00456359"/>
    <w:rsid w:val="004611D1"/>
    <w:rsid w:val="00474DDA"/>
    <w:rsid w:val="0049499F"/>
    <w:rsid w:val="004A3539"/>
    <w:rsid w:val="004F2791"/>
    <w:rsid w:val="004F6CAD"/>
    <w:rsid w:val="0052795D"/>
    <w:rsid w:val="00540C1E"/>
    <w:rsid w:val="00540DC3"/>
    <w:rsid w:val="00556E91"/>
    <w:rsid w:val="00570795"/>
    <w:rsid w:val="00570A18"/>
    <w:rsid w:val="005768D2"/>
    <w:rsid w:val="005831B3"/>
    <w:rsid w:val="00587FF0"/>
    <w:rsid w:val="00596176"/>
    <w:rsid w:val="005A1CBF"/>
    <w:rsid w:val="005A1DE6"/>
    <w:rsid w:val="005B04DB"/>
    <w:rsid w:val="005C1829"/>
    <w:rsid w:val="005E5129"/>
    <w:rsid w:val="005F0697"/>
    <w:rsid w:val="005F0B4C"/>
    <w:rsid w:val="005F7FE1"/>
    <w:rsid w:val="0060154F"/>
    <w:rsid w:val="00605295"/>
    <w:rsid w:val="006148CA"/>
    <w:rsid w:val="00620A65"/>
    <w:rsid w:val="00622A0F"/>
    <w:rsid w:val="00643AD8"/>
    <w:rsid w:val="00662132"/>
    <w:rsid w:val="00671D70"/>
    <w:rsid w:val="00693886"/>
    <w:rsid w:val="006979DA"/>
    <w:rsid w:val="006A031D"/>
    <w:rsid w:val="006A7A4C"/>
    <w:rsid w:val="006B0B81"/>
    <w:rsid w:val="006B6A92"/>
    <w:rsid w:val="006C74DB"/>
    <w:rsid w:val="006E5AA9"/>
    <w:rsid w:val="006F5C4F"/>
    <w:rsid w:val="00706EAC"/>
    <w:rsid w:val="0071212C"/>
    <w:rsid w:val="007138DF"/>
    <w:rsid w:val="007160C3"/>
    <w:rsid w:val="0073266A"/>
    <w:rsid w:val="007343F5"/>
    <w:rsid w:val="00740C2C"/>
    <w:rsid w:val="00744077"/>
    <w:rsid w:val="00745664"/>
    <w:rsid w:val="007602F7"/>
    <w:rsid w:val="00761FED"/>
    <w:rsid w:val="007701CF"/>
    <w:rsid w:val="00771937"/>
    <w:rsid w:val="00785D40"/>
    <w:rsid w:val="007A18F8"/>
    <w:rsid w:val="007A7701"/>
    <w:rsid w:val="007C7B1E"/>
    <w:rsid w:val="007E1DA8"/>
    <w:rsid w:val="00823EF8"/>
    <w:rsid w:val="00824714"/>
    <w:rsid w:val="00881ACD"/>
    <w:rsid w:val="00885FD4"/>
    <w:rsid w:val="008B1322"/>
    <w:rsid w:val="008C0304"/>
    <w:rsid w:val="008D43CE"/>
    <w:rsid w:val="008F6B54"/>
    <w:rsid w:val="00916123"/>
    <w:rsid w:val="0091746E"/>
    <w:rsid w:val="0092689E"/>
    <w:rsid w:val="009371E2"/>
    <w:rsid w:val="00943698"/>
    <w:rsid w:val="00944939"/>
    <w:rsid w:val="00947868"/>
    <w:rsid w:val="00950C83"/>
    <w:rsid w:val="00955241"/>
    <w:rsid w:val="00967F2B"/>
    <w:rsid w:val="00970C15"/>
    <w:rsid w:val="00982EC3"/>
    <w:rsid w:val="00983C9E"/>
    <w:rsid w:val="009A0576"/>
    <w:rsid w:val="009A11FD"/>
    <w:rsid w:val="009A3F44"/>
    <w:rsid w:val="009A52C4"/>
    <w:rsid w:val="009B474C"/>
    <w:rsid w:val="009D4494"/>
    <w:rsid w:val="009E2CA8"/>
    <w:rsid w:val="009E5550"/>
    <w:rsid w:val="00A00971"/>
    <w:rsid w:val="00A04118"/>
    <w:rsid w:val="00A05C17"/>
    <w:rsid w:val="00A126C1"/>
    <w:rsid w:val="00A214D6"/>
    <w:rsid w:val="00A24C37"/>
    <w:rsid w:val="00A27D52"/>
    <w:rsid w:val="00A56142"/>
    <w:rsid w:val="00A618B8"/>
    <w:rsid w:val="00A6564C"/>
    <w:rsid w:val="00A72CC9"/>
    <w:rsid w:val="00A75A18"/>
    <w:rsid w:val="00A769C5"/>
    <w:rsid w:val="00AB5776"/>
    <w:rsid w:val="00AD57C5"/>
    <w:rsid w:val="00AE1F5F"/>
    <w:rsid w:val="00B011DB"/>
    <w:rsid w:val="00B1759C"/>
    <w:rsid w:val="00B70054"/>
    <w:rsid w:val="00B7153D"/>
    <w:rsid w:val="00B77232"/>
    <w:rsid w:val="00B77287"/>
    <w:rsid w:val="00B834A6"/>
    <w:rsid w:val="00B863EF"/>
    <w:rsid w:val="00B93F23"/>
    <w:rsid w:val="00BC0D5D"/>
    <w:rsid w:val="00BC267F"/>
    <w:rsid w:val="00BC3698"/>
    <w:rsid w:val="00BC6CDF"/>
    <w:rsid w:val="00BD055E"/>
    <w:rsid w:val="00C03405"/>
    <w:rsid w:val="00C27EBF"/>
    <w:rsid w:val="00C36835"/>
    <w:rsid w:val="00C45CFC"/>
    <w:rsid w:val="00C551FF"/>
    <w:rsid w:val="00C56052"/>
    <w:rsid w:val="00C60207"/>
    <w:rsid w:val="00C73681"/>
    <w:rsid w:val="00C8658C"/>
    <w:rsid w:val="00CA4D9E"/>
    <w:rsid w:val="00CF1047"/>
    <w:rsid w:val="00CF4ECB"/>
    <w:rsid w:val="00D34C0D"/>
    <w:rsid w:val="00D36BF9"/>
    <w:rsid w:val="00D43EFA"/>
    <w:rsid w:val="00D54232"/>
    <w:rsid w:val="00D74414"/>
    <w:rsid w:val="00D87FA4"/>
    <w:rsid w:val="00DA775A"/>
    <w:rsid w:val="00DB54D0"/>
    <w:rsid w:val="00DB5917"/>
    <w:rsid w:val="00DF4408"/>
    <w:rsid w:val="00E16C25"/>
    <w:rsid w:val="00E22E8B"/>
    <w:rsid w:val="00E24C88"/>
    <w:rsid w:val="00E35395"/>
    <w:rsid w:val="00E47C06"/>
    <w:rsid w:val="00E5465B"/>
    <w:rsid w:val="00E62409"/>
    <w:rsid w:val="00E84098"/>
    <w:rsid w:val="00E94377"/>
    <w:rsid w:val="00E94A50"/>
    <w:rsid w:val="00EB1E6C"/>
    <w:rsid w:val="00EB3598"/>
    <w:rsid w:val="00ED31AD"/>
    <w:rsid w:val="00ED6FE6"/>
    <w:rsid w:val="00EE2EAA"/>
    <w:rsid w:val="00EE43BE"/>
    <w:rsid w:val="00EF0DEA"/>
    <w:rsid w:val="00EF4541"/>
    <w:rsid w:val="00F0256F"/>
    <w:rsid w:val="00F035F0"/>
    <w:rsid w:val="00F179FB"/>
    <w:rsid w:val="00F264FD"/>
    <w:rsid w:val="00F34121"/>
    <w:rsid w:val="00F41D38"/>
    <w:rsid w:val="00F50EAF"/>
    <w:rsid w:val="00F513AF"/>
    <w:rsid w:val="00F56A08"/>
    <w:rsid w:val="00F64FCA"/>
    <w:rsid w:val="00F67435"/>
    <w:rsid w:val="00F707BA"/>
    <w:rsid w:val="00F8086C"/>
    <w:rsid w:val="00F80CC5"/>
    <w:rsid w:val="00F80DD9"/>
    <w:rsid w:val="00F8699D"/>
    <w:rsid w:val="00FA527E"/>
    <w:rsid w:val="00FA79CA"/>
    <w:rsid w:val="00FD59CC"/>
    <w:rsid w:val="00FD62E2"/>
    <w:rsid w:val="00FD6420"/>
    <w:rsid w:val="00FE3D02"/>
    <w:rsid w:val="00FF2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34E07"/>
  <w15:chartTrackingRefBased/>
  <w15:docId w15:val="{32D77795-7044-42B2-B275-CF0DF6E3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8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Brdtext2">
    <w:name w:val="Body Text 2"/>
    <w:basedOn w:val="Normal"/>
    <w:link w:val="Brdtext2Char"/>
    <w:rsid w:val="00E22E8B"/>
    <w:pPr>
      <w:spacing w:after="120" w:line="480" w:lineRule="auto"/>
    </w:pPr>
    <w:rPr>
      <w:szCs w:val="20"/>
    </w:rPr>
  </w:style>
  <w:style w:type="character" w:customStyle="1" w:styleId="Brdtext2Char">
    <w:name w:val="Brödtext 2 Char"/>
    <w:basedOn w:val="Standardstycketeckensnitt"/>
    <w:link w:val="Brdtext2"/>
    <w:rsid w:val="00E22E8B"/>
    <w:rPr>
      <w:rFonts w:ascii="Times New Roman" w:eastAsia="Times New Roman" w:hAnsi="Times New Roman" w:cs="Times New Roman"/>
      <w:sz w:val="24"/>
      <w:szCs w:val="20"/>
      <w:lang w:eastAsia="sv-SE"/>
    </w:rPr>
  </w:style>
  <w:style w:type="paragraph" w:styleId="Brdtext">
    <w:name w:val="Body Text"/>
    <w:basedOn w:val="Normal"/>
    <w:link w:val="BrdtextChar"/>
    <w:rsid w:val="00E22E8B"/>
    <w:pPr>
      <w:spacing w:after="120"/>
    </w:pPr>
  </w:style>
  <w:style w:type="character" w:customStyle="1" w:styleId="BrdtextChar">
    <w:name w:val="Brödtext Char"/>
    <w:basedOn w:val="Standardstycketeckensnitt"/>
    <w:link w:val="Brdtext"/>
    <w:rsid w:val="00E22E8B"/>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4396-60E4-4541-A8E6-9021256B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5173</Characters>
  <Application>Microsoft Office Word</Application>
  <DocSecurity>4</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Stockholms Stad</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 Boucher</dc:creator>
  <cp:keywords/>
  <dc:description/>
  <cp:lastModifiedBy>Fredrik Samuelsson</cp:lastModifiedBy>
  <cp:revision>2</cp:revision>
  <cp:lastPrinted>2015-09-15T10:46:00Z</cp:lastPrinted>
  <dcterms:created xsi:type="dcterms:W3CDTF">2019-02-03T10:49:00Z</dcterms:created>
  <dcterms:modified xsi:type="dcterms:W3CDTF">2019-02-03T10:49:00Z</dcterms:modified>
</cp:coreProperties>
</file>